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60"/>
      </w:pPr>
      <w:r>
        <w:rPr>
          <w:b/>
          <w:color w:val="560BAD"/>
          <w:sz w:val="40"/>
          <w:szCs w:val="40"/>
        </w:rPr>
        <w:t xml:space="preserve">Annual Governance Calendar</w:t>
      </w:r>
    </w:p>
    <w:p>
      <w:pPr>
        <w:spacing w:after="220"/>
      </w:pPr>
      <w:r>
        <w:rPr>
          <w:color w:val="8A847E"/>
          <w:sz w:val="18"/>
          <w:szCs w:val="18"/>
        </w:rPr>
        <w:t xml:space="preserve">IFR Hub Governance Toolkit  Â·  ifrhub.co.uk</w:t>
      </w:r>
    </w:p>
    <w:p>
      <w:pPr>
        <w:spacing w:after="200"/>
      </w:pPr>
      <w:r>
        <w:rPr>
          <w:color w:val="221E1B"/>
          <w:sz w:val="21"/>
          <w:szCs w:val="21"/>
        </w:rPr>
        <w:t xml:space="preserve">A rolling twelve-month calendar of all recurring governance and compliance obligations. Adapt to reflect your club's financial year, board meeting schedule, and specific regulatory deadlines. Review and update at the start of each quarter.</w:t>
      </w:r>
    </w:p>
    <w:p>
      <w:pPr>
        <w:spacing w:after="120"/>
      </w:pPr>
      <w:r>
        <w:rPr>
          <w:b/>
          <w:color w:val="560BAD"/>
          <w:sz w:val="24"/>
          <w:szCs w:val="24"/>
        </w:rPr>
        <w:t xml:space="preserve">Q1 (months 1-3)</w:t>
      </w:r>
    </w:p>
    <w:tbl>
      <w:tblPr>
        <w:tblW w:w="0" w:type="auto"/>
        <w:tblLayout w:type="fixed"/>
        <w:tblBorders>
          <w:top w:val="single" w:sz="4" w:color="C9C2BA"/>
          <w:left w:val="single" w:sz="4" w:color="C9C2BA"/>
          <w:bottom w:val="single" w:sz="4" w:color="C9C2BA"/>
          <w:right w:val="single" w:sz="4" w:color="C9C2BA"/>
          <w:insideH w:val="single" w:sz="4" w:color="C9C2BA"/>
          <w:insideV w:val="single" w:sz="4" w:color="C9C2BA"/>
        </w:tblBorders>
      </w:tblPr>
      <w:tblGrid>
        <w:gridCol w:w="1200"/>
        <w:gridCol w:w="5300"/>
        <w:gridCol w:w="2000"/>
        <w:gridCol w:w="1130"/>
      </w:tblGrid>
      <w:tr>
        <w:trPr>
          <w:tblHeader/>
        </w:trPr>
        <w:tc>
          <w:tcPr>
            <w:tcW w:w="1200" w:type="dxa"/>
            <w:shd w:val="clear" w:color="auto" w:fill="560BAD"/>
            <w:vAlign w:val="center"/>
          </w:tcPr>
          <w:p>
            <w:pPr>
              <w:spacing w:before="40" w:after="40"/>
            </w:pPr>
            <w:r>
              <w:rPr>
                <w:b/>
                <w:color w:val="FFFFFF"/>
                <w:sz w:val="19"/>
                <w:szCs w:val="19"/>
              </w:rPr>
              <w:t xml:space="preserve">Month</w:t>
            </w:r>
          </w:p>
        </w:tc>
        <w:tc>
          <w:tcPr>
            <w:tcW w:w="5300" w:type="dxa"/>
            <w:shd w:val="clear" w:color="auto" w:fill="560BAD"/>
            <w:vAlign w:val="center"/>
          </w:tcPr>
          <w:p>
            <w:pPr>
              <w:spacing w:before="40" w:after="40"/>
            </w:pPr>
            <w:r>
              <w:rPr>
                <w:b/>
                <w:color w:val="FFFFFF"/>
                <w:sz w:val="19"/>
                <w:szCs w:val="19"/>
              </w:rPr>
              <w:t xml:space="preserve">Obligation</w:t>
            </w:r>
          </w:p>
        </w:tc>
        <w:tc>
          <w:tcPr>
            <w:tcW w:w="2000" w:type="dxa"/>
            <w:shd w:val="clear" w:color="auto" w:fill="560BAD"/>
            <w:vAlign w:val="center"/>
          </w:tcPr>
          <w:p>
            <w:pPr>
              <w:spacing w:before="40" w:after="40"/>
            </w:pPr>
            <w:r>
              <w:rPr>
                <w:b/>
                <w:color w:val="FFFFFF"/>
                <w:sz w:val="19"/>
                <w:szCs w:val="19"/>
              </w:rPr>
              <w:t xml:space="preserve">Owner</w:t>
            </w:r>
          </w:p>
        </w:tc>
        <w:tc>
          <w:tcPr>
            <w:tcW w:w="1130" w:type="dxa"/>
            <w:shd w:val="clear" w:color="auto" w:fill="560BAD"/>
            <w:vAlign w:val="center"/>
          </w:tcPr>
          <w:p>
            <w:pPr>
              <w:spacing w:before="40" w:after="40"/>
            </w:pPr>
            <w:r>
              <w:rPr>
                <w:b/>
                <w:color w:val="FFFFFF"/>
                <w:sz w:val="19"/>
                <w:szCs w:val="19"/>
              </w:rPr>
              <w:t xml:space="preserve">Status</w:t>
            </w:r>
          </w:p>
        </w:tc>
      </w:tr>
      <w:tr>
        <w:tc>
          <w:tcPr>
            <w:tcW w:w="1200" w:type="dxa"/>
            <w:vAlign w:val="center"/>
          </w:tcPr>
          <w:p>
            <w:pPr>
              <w:spacing w:before="40" w:after="40"/>
            </w:pPr>
            <w:r>
              <w:rPr>
                <w:color w:val="221E1B"/>
                <w:sz w:val="19"/>
                <w:szCs w:val="19"/>
              </w:rPr>
              <w:t xml:space="preserve">Month 1</w:t>
            </w:r>
          </w:p>
        </w:tc>
        <w:tc>
          <w:tcPr>
            <w:tcW w:w="5300" w:type="dxa"/>
            <w:vAlign w:val="center"/>
          </w:tcPr>
          <w:p>
            <w:pPr>
              <w:spacing w:before="40" w:after="40"/>
            </w:pPr>
            <w:r>
              <w:rPr>
                <w:color w:val="221E1B"/>
                <w:sz w:val="19"/>
                <w:szCs w:val="19"/>
              </w:rPr>
              <w:t xml:space="preserve">Board meeting - includes risk register review, regulatory update, conflicts of interest review</w:t>
            </w:r>
          </w:p>
        </w:tc>
        <w:tc>
          <w:tcPr>
            <w:tcW w:w="2000" w:type="dxa"/>
            <w:vAlign w:val="center"/>
          </w:tcPr>
          <w:p>
            <w:pPr>
              <w:spacing w:before="40" w:after="40"/>
            </w:pPr>
            <w:r>
              <w:rPr>
                <w:color w:val="221E1B"/>
                <w:sz w:val="19"/>
                <w:szCs w:val="19"/>
              </w:rPr>
              <w:t xml:space="preserve">Board Chair</w:t>
            </w:r>
          </w:p>
        </w:tc>
        <w:tc>
          <w:tcPr>
            <w:tcW w:w="1130" w:type="dxa"/>
            <w:vAlign w:val="center"/>
          </w:tcPr>
          <w:p>
            <w:pPr>
              <w:spacing w:before="40" w:after="40"/>
            </w:pPr>
            <w:r>
              <w:rPr>
                <w:color w:val="221E1B"/>
                <w:sz w:val="19"/>
                <w:szCs w:val="19"/>
              </w:rPr>
              <w:t xml:space="preserve"/>
            </w:r>
          </w:p>
        </w:tc>
      </w:tr>
      <w:tr>
        <w:tc>
          <w:tcPr>
            <w:tcW w:w="1200" w:type="dxa"/>
            <w:vAlign w:val="center"/>
          </w:tcPr>
          <w:p>
            <w:pPr>
              <w:spacing w:before="40" w:after="40"/>
            </w:pPr>
            <w:r>
              <w:rPr>
                <w:color w:val="221E1B"/>
                <w:sz w:val="19"/>
                <w:szCs w:val="19"/>
              </w:rPr>
              <w:t xml:space="preserve">Month 1</w:t>
            </w:r>
          </w:p>
        </w:tc>
        <w:tc>
          <w:tcPr>
            <w:tcW w:w="5300" w:type="dxa"/>
            <w:vAlign w:val="center"/>
          </w:tcPr>
          <w:p>
            <w:pPr>
              <w:spacing w:before="40" w:after="40"/>
            </w:pPr>
            <w:r>
              <w:rPr>
                <w:color w:val="221E1B"/>
                <w:sz w:val="19"/>
                <w:szCs w:val="19"/>
              </w:rPr>
              <w:t xml:space="preserve">Governance calendar reviewed and updated for coming quarter</w:t>
            </w:r>
          </w:p>
        </w:tc>
        <w:tc>
          <w:tcPr>
            <w:tcW w:w="2000" w:type="dxa"/>
            <w:vAlign w:val="center"/>
          </w:tcPr>
          <w:p>
            <w:pPr>
              <w:spacing w:before="40" w:after="40"/>
            </w:pPr>
            <w:r>
              <w:rPr>
                <w:color w:val="221E1B"/>
                <w:sz w:val="19"/>
                <w:szCs w:val="19"/>
              </w:rPr>
              <w:t xml:space="preserve">Regulatory Lead</w:t>
            </w:r>
          </w:p>
        </w:tc>
        <w:tc>
          <w:tcPr>
            <w:tcW w:w="1130" w:type="dxa"/>
            <w:vAlign w:val="center"/>
          </w:tcPr>
          <w:p>
            <w:pPr>
              <w:spacing w:before="40" w:after="40"/>
            </w:pPr>
            <w:r>
              <w:rPr>
                <w:color w:val="221E1B"/>
                <w:sz w:val="19"/>
                <w:szCs w:val="19"/>
              </w:rPr>
              <w:t xml:space="preserve"/>
            </w:r>
          </w:p>
        </w:tc>
      </w:tr>
      <w:tr>
        <w:tc>
          <w:tcPr>
            <w:tcW w:w="1200" w:type="dxa"/>
            <w:vAlign w:val="center"/>
          </w:tcPr>
          <w:p>
            <w:pPr>
              <w:spacing w:before="40" w:after="40"/>
            </w:pPr>
            <w:r>
              <w:rPr>
                <w:color w:val="221E1B"/>
                <w:sz w:val="19"/>
                <w:szCs w:val="19"/>
              </w:rPr>
              <w:t xml:space="preserve">Month 2</w:t>
            </w:r>
          </w:p>
        </w:tc>
        <w:tc>
          <w:tcPr>
            <w:tcW w:w="5300" w:type="dxa"/>
            <w:vAlign w:val="center"/>
          </w:tcPr>
          <w:p>
            <w:pPr>
              <w:spacing w:before="40" w:after="40"/>
            </w:pPr>
            <w:r>
              <w:rPr>
                <w:color w:val="221E1B"/>
                <w:sz w:val="19"/>
                <w:szCs w:val="19"/>
              </w:rPr>
              <w:t xml:space="preserve">Board meeting - financial reporting including cash flow projection</w:t>
            </w:r>
          </w:p>
        </w:tc>
        <w:tc>
          <w:tcPr>
            <w:tcW w:w="2000" w:type="dxa"/>
            <w:vAlign w:val="center"/>
          </w:tcPr>
          <w:p>
            <w:pPr>
              <w:spacing w:before="40" w:after="40"/>
            </w:pPr>
            <w:r>
              <w:rPr>
                <w:color w:val="221E1B"/>
                <w:sz w:val="19"/>
                <w:szCs w:val="19"/>
              </w:rPr>
              <w:t xml:space="preserve">CFO / Board Chair</w:t>
            </w:r>
          </w:p>
        </w:tc>
        <w:tc>
          <w:tcPr>
            <w:tcW w:w="1130" w:type="dxa"/>
            <w:vAlign w:val="center"/>
          </w:tcPr>
          <w:p>
            <w:pPr>
              <w:spacing w:before="40" w:after="40"/>
            </w:pPr>
            <w:r>
              <w:rPr>
                <w:color w:val="221E1B"/>
                <w:sz w:val="19"/>
                <w:szCs w:val="19"/>
              </w:rPr>
              <w:t xml:space="preserve"/>
            </w:r>
          </w:p>
        </w:tc>
      </w:tr>
      <w:tr>
        <w:tc>
          <w:tcPr>
            <w:tcW w:w="1200" w:type="dxa"/>
            <w:vAlign w:val="center"/>
          </w:tcPr>
          <w:p>
            <w:pPr>
              <w:spacing w:before="40" w:after="40"/>
            </w:pPr>
            <w:r>
              <w:rPr>
                <w:color w:val="221E1B"/>
                <w:sz w:val="19"/>
                <w:szCs w:val="19"/>
              </w:rPr>
              <w:t xml:space="preserve">Month 2</w:t>
            </w:r>
          </w:p>
        </w:tc>
        <w:tc>
          <w:tcPr>
            <w:tcW w:w="5300" w:type="dxa"/>
            <w:vAlign w:val="center"/>
          </w:tcPr>
          <w:p>
            <w:pPr>
              <w:spacing w:before="40" w:after="40"/>
            </w:pPr>
            <w:r>
              <w:rPr>
                <w:color w:val="221E1B"/>
                <w:sz w:val="19"/>
                <w:szCs w:val="19"/>
              </w:rPr>
              <w:t xml:space="preserve">Conflicts of interest register reviewed and updated</w:t>
            </w:r>
          </w:p>
        </w:tc>
        <w:tc>
          <w:tcPr>
            <w:tcW w:w="2000" w:type="dxa"/>
            <w:vAlign w:val="center"/>
          </w:tcPr>
          <w:p>
            <w:pPr>
              <w:spacing w:before="40" w:after="40"/>
            </w:pPr>
            <w:r>
              <w:rPr>
                <w:color w:val="221E1B"/>
                <w:sz w:val="19"/>
                <w:szCs w:val="19"/>
              </w:rPr>
              <w:t xml:space="preserve">Company Secretary</w:t>
            </w:r>
          </w:p>
        </w:tc>
        <w:tc>
          <w:tcPr>
            <w:tcW w:w="1130" w:type="dxa"/>
            <w:vAlign w:val="center"/>
          </w:tcPr>
          <w:p>
            <w:pPr>
              <w:spacing w:before="40" w:after="40"/>
            </w:pPr>
            <w:r>
              <w:rPr>
                <w:color w:val="221E1B"/>
                <w:sz w:val="19"/>
                <w:szCs w:val="19"/>
              </w:rPr>
              <w:t xml:space="preserve"/>
            </w:r>
          </w:p>
        </w:tc>
      </w:tr>
      <w:tr>
        <w:tc>
          <w:tcPr>
            <w:tcW w:w="1200" w:type="dxa"/>
            <w:vAlign w:val="center"/>
          </w:tcPr>
          <w:p>
            <w:pPr>
              <w:spacing w:before="40" w:after="40"/>
            </w:pPr>
            <w:r>
              <w:rPr>
                <w:color w:val="221E1B"/>
                <w:sz w:val="19"/>
                <w:szCs w:val="19"/>
              </w:rPr>
              <w:t xml:space="preserve">Month 3</w:t>
            </w:r>
          </w:p>
        </w:tc>
        <w:tc>
          <w:tcPr>
            <w:tcW w:w="5300" w:type="dxa"/>
            <w:vAlign w:val="center"/>
          </w:tcPr>
          <w:p>
            <w:pPr>
              <w:spacing w:before="40" w:after="40"/>
            </w:pPr>
            <w:r>
              <w:rPr>
                <w:color w:val="221E1B"/>
                <w:sz w:val="19"/>
                <w:szCs w:val="19"/>
              </w:rPr>
              <w:t xml:space="preserve">Board meeting - Audit and Risk Committee report presented</w:t>
            </w:r>
          </w:p>
        </w:tc>
        <w:tc>
          <w:tcPr>
            <w:tcW w:w="2000" w:type="dxa"/>
            <w:vAlign w:val="center"/>
          </w:tcPr>
          <w:p>
            <w:pPr>
              <w:spacing w:before="40" w:after="40"/>
            </w:pPr>
            <w:r>
              <w:rPr>
                <w:color w:val="221E1B"/>
                <w:sz w:val="19"/>
                <w:szCs w:val="19"/>
              </w:rPr>
              <w:t xml:space="preserve">ARC Chair</w:t>
            </w:r>
          </w:p>
        </w:tc>
        <w:tc>
          <w:tcPr>
            <w:tcW w:w="1130" w:type="dxa"/>
            <w:vAlign w:val="center"/>
          </w:tcPr>
          <w:p>
            <w:pPr>
              <w:spacing w:before="40" w:after="40"/>
            </w:pPr>
            <w:r>
              <w:rPr>
                <w:color w:val="221E1B"/>
                <w:sz w:val="19"/>
                <w:szCs w:val="19"/>
              </w:rPr>
              <w:t xml:space="preserve"/>
            </w:r>
          </w:p>
        </w:tc>
      </w:tr>
      <w:tr>
        <w:tc>
          <w:tcPr>
            <w:tcW w:w="1200" w:type="dxa"/>
            <w:vAlign w:val="center"/>
          </w:tcPr>
          <w:p>
            <w:pPr>
              <w:spacing w:before="40" w:after="40"/>
            </w:pPr>
            <w:r>
              <w:rPr>
                <w:color w:val="221E1B"/>
                <w:sz w:val="19"/>
                <w:szCs w:val="19"/>
              </w:rPr>
              <w:t xml:space="preserve">Month 3</w:t>
            </w:r>
          </w:p>
        </w:tc>
        <w:tc>
          <w:tcPr>
            <w:tcW w:w="5300" w:type="dxa"/>
            <w:vAlign w:val="center"/>
          </w:tcPr>
          <w:p>
            <w:pPr>
              <w:spacing w:before="40" w:after="40"/>
            </w:pPr>
            <w:r>
              <w:rPr>
                <w:color w:val="221E1B"/>
                <w:sz w:val="19"/>
                <w:szCs w:val="19"/>
              </w:rPr>
              <w:t xml:space="preserve">IFR correspondence file reviewed - all items actioned or scheduled</w:t>
            </w:r>
          </w:p>
        </w:tc>
        <w:tc>
          <w:tcPr>
            <w:tcW w:w="2000" w:type="dxa"/>
            <w:vAlign w:val="center"/>
          </w:tcPr>
          <w:p>
            <w:pPr>
              <w:spacing w:before="40" w:after="40"/>
            </w:pPr>
            <w:r>
              <w:rPr>
                <w:color w:val="221E1B"/>
                <w:sz w:val="19"/>
                <w:szCs w:val="19"/>
              </w:rPr>
              <w:t xml:space="preserve">Regulatory Lead</w:t>
            </w:r>
          </w:p>
        </w:tc>
        <w:tc>
          <w:tcPr>
            <w:tcW w:w="1130" w:type="dxa"/>
            <w:vAlign w:val="center"/>
          </w:tcPr>
          <w:p>
            <w:pPr>
              <w:spacing w:before="40" w:after="40"/>
            </w:pPr>
            <w:r>
              <w:rPr>
                <w:color w:val="221E1B"/>
                <w:sz w:val="19"/>
                <w:szCs w:val="19"/>
              </w:rPr>
              <w:t xml:space="preserve"/>
            </w:r>
          </w:p>
        </w:tc>
      </w:tr>
      <w:tr>
        <w:tc>
          <w:tcPr>
            <w:tcW w:w="1200" w:type="dxa"/>
            <w:vAlign w:val="center"/>
          </w:tcPr>
          <w:p>
            <w:pPr>
              <w:spacing w:before="40" w:after="40"/>
            </w:pPr>
            <w:r>
              <w:rPr>
                <w:color w:val="221E1B"/>
                <w:sz w:val="19"/>
                <w:szCs w:val="19"/>
              </w:rPr>
              <w:t xml:space="preserve">Month 3</w:t>
            </w:r>
          </w:p>
        </w:tc>
        <w:tc>
          <w:tcPr>
            <w:tcW w:w="5300" w:type="dxa"/>
            <w:vAlign w:val="center"/>
          </w:tcPr>
          <w:p>
            <w:pPr>
              <w:spacing w:before="40" w:after="40"/>
            </w:pPr>
            <w:r>
              <w:rPr>
                <w:color w:val="221E1B"/>
                <w:sz w:val="19"/>
                <w:szCs w:val="19"/>
              </w:rPr>
              <w:t xml:space="preserve">Fan Advisory Board quarterly meeting</w:t>
            </w:r>
          </w:p>
        </w:tc>
        <w:tc>
          <w:tcPr>
            <w:tcW w:w="2000" w:type="dxa"/>
            <w:vAlign w:val="center"/>
          </w:tcPr>
          <w:p>
            <w:pPr>
              <w:spacing w:before="40" w:after="40"/>
            </w:pPr>
            <w:r>
              <w:rPr>
                <w:color w:val="221E1B"/>
                <w:sz w:val="19"/>
                <w:szCs w:val="19"/>
              </w:rPr>
              <w:t xml:space="preserve">Fan Engagement Lead</w:t>
            </w:r>
          </w:p>
        </w:tc>
        <w:tc>
          <w:tcPr>
            <w:tcW w:w="1130" w:type="dxa"/>
            <w:vAlign w:val="center"/>
          </w:tcPr>
          <w:p>
            <w:pPr>
              <w:spacing w:before="40" w:after="40"/>
            </w:pPr>
            <w:r>
              <w:rPr>
                <w:color w:val="221E1B"/>
                <w:sz w:val="19"/>
                <w:szCs w:val="19"/>
              </w:rPr>
              <w:t xml:space="preserve"/>
            </w:r>
          </w:p>
        </w:tc>
      </w:tr>
    </w:tbl>
    <w:p>
      <w:pPr>
        <w:spacing w:after="120"/>
      </w:pPr>
    </w:p>
    <w:p>
      <w:pPr>
        <w:spacing w:after="120"/>
      </w:pPr>
      <w:r>
        <w:rPr>
          <w:b/>
          <w:color w:val="560BAD"/>
          <w:sz w:val="24"/>
          <w:szCs w:val="24"/>
        </w:rPr>
        <w:t xml:space="preserve">Q2 (months 4-6)</w:t>
      </w:r>
    </w:p>
    <w:tbl>
      <w:tblPr>
        <w:tblW w:w="0" w:type="auto"/>
        <w:tblLayout w:type="fixed"/>
        <w:tblBorders>
          <w:top w:val="single" w:sz="4" w:color="C9C2BA"/>
          <w:left w:val="single" w:sz="4" w:color="C9C2BA"/>
          <w:bottom w:val="single" w:sz="4" w:color="C9C2BA"/>
          <w:right w:val="single" w:sz="4" w:color="C9C2BA"/>
          <w:insideH w:val="single" w:sz="4" w:color="C9C2BA"/>
          <w:insideV w:val="single" w:sz="4" w:color="C9C2BA"/>
        </w:tblBorders>
      </w:tblPr>
      <w:tblGrid>
        <w:gridCol w:w="1200"/>
        <w:gridCol w:w="5300"/>
        <w:gridCol w:w="2000"/>
        <w:gridCol w:w="1130"/>
      </w:tblGrid>
      <w:tr>
        <w:trPr>
          <w:tblHeader/>
        </w:trPr>
        <w:tc>
          <w:tcPr>
            <w:tcW w:w="1200" w:type="dxa"/>
            <w:shd w:val="clear" w:color="auto" w:fill="560BAD"/>
            <w:vAlign w:val="center"/>
          </w:tcPr>
          <w:p>
            <w:pPr>
              <w:spacing w:before="40" w:after="40"/>
            </w:pPr>
            <w:r>
              <w:rPr>
                <w:b/>
                <w:color w:val="FFFFFF"/>
                <w:sz w:val="19"/>
                <w:szCs w:val="19"/>
              </w:rPr>
              <w:t xml:space="preserve">Month</w:t>
            </w:r>
          </w:p>
        </w:tc>
        <w:tc>
          <w:tcPr>
            <w:tcW w:w="5300" w:type="dxa"/>
            <w:shd w:val="clear" w:color="auto" w:fill="560BAD"/>
            <w:vAlign w:val="center"/>
          </w:tcPr>
          <w:p>
            <w:pPr>
              <w:spacing w:before="40" w:after="40"/>
            </w:pPr>
            <w:r>
              <w:rPr>
                <w:b/>
                <w:color w:val="FFFFFF"/>
                <w:sz w:val="19"/>
                <w:szCs w:val="19"/>
              </w:rPr>
              <w:t xml:space="preserve">Obligation</w:t>
            </w:r>
          </w:p>
        </w:tc>
        <w:tc>
          <w:tcPr>
            <w:tcW w:w="2000" w:type="dxa"/>
            <w:shd w:val="clear" w:color="auto" w:fill="560BAD"/>
            <w:vAlign w:val="center"/>
          </w:tcPr>
          <w:p>
            <w:pPr>
              <w:spacing w:before="40" w:after="40"/>
            </w:pPr>
            <w:r>
              <w:rPr>
                <w:b/>
                <w:color w:val="FFFFFF"/>
                <w:sz w:val="19"/>
                <w:szCs w:val="19"/>
              </w:rPr>
              <w:t xml:space="preserve">Owner</w:t>
            </w:r>
          </w:p>
        </w:tc>
        <w:tc>
          <w:tcPr>
            <w:tcW w:w="1130" w:type="dxa"/>
            <w:shd w:val="clear" w:color="auto" w:fill="560BAD"/>
            <w:vAlign w:val="center"/>
          </w:tcPr>
          <w:p>
            <w:pPr>
              <w:spacing w:before="40" w:after="40"/>
            </w:pPr>
            <w:r>
              <w:rPr>
                <w:b/>
                <w:color w:val="FFFFFF"/>
                <w:sz w:val="19"/>
                <w:szCs w:val="19"/>
              </w:rPr>
              <w:t xml:space="preserve">Status</w:t>
            </w:r>
          </w:p>
        </w:tc>
      </w:tr>
      <w:tr>
        <w:tc>
          <w:tcPr>
            <w:tcW w:w="1200" w:type="dxa"/>
            <w:vAlign w:val="center"/>
          </w:tcPr>
          <w:p>
            <w:pPr>
              <w:spacing w:before="40" w:after="40"/>
            </w:pPr>
            <w:r>
              <w:rPr>
                <w:color w:val="221E1B"/>
                <w:sz w:val="19"/>
                <w:szCs w:val="19"/>
              </w:rPr>
              <w:t xml:space="preserve">Month 4</w:t>
            </w:r>
          </w:p>
        </w:tc>
        <w:tc>
          <w:tcPr>
            <w:tcW w:w="5300" w:type="dxa"/>
            <w:vAlign w:val="center"/>
          </w:tcPr>
          <w:p>
            <w:pPr>
              <w:spacing w:before="40" w:after="40"/>
            </w:pPr>
            <w:r>
              <w:rPr>
                <w:color w:val="221E1B"/>
                <w:sz w:val="19"/>
                <w:szCs w:val="19"/>
              </w:rPr>
              <w:t xml:space="preserve">Board meeting - annual budget review / approval for coming season</w:t>
            </w:r>
          </w:p>
        </w:tc>
        <w:tc>
          <w:tcPr>
            <w:tcW w:w="2000" w:type="dxa"/>
            <w:vAlign w:val="center"/>
          </w:tcPr>
          <w:p>
            <w:pPr>
              <w:spacing w:before="40" w:after="40"/>
            </w:pPr>
            <w:r>
              <w:rPr>
                <w:color w:val="221E1B"/>
                <w:sz w:val="19"/>
                <w:szCs w:val="19"/>
              </w:rPr>
              <w:t xml:space="preserve">CFO / Board</w:t>
            </w:r>
          </w:p>
        </w:tc>
        <w:tc>
          <w:tcPr>
            <w:tcW w:w="1130" w:type="dxa"/>
            <w:vAlign w:val="center"/>
          </w:tcPr>
          <w:p>
            <w:pPr>
              <w:spacing w:before="40" w:after="40"/>
            </w:pPr>
            <w:r>
              <w:rPr>
                <w:color w:val="221E1B"/>
                <w:sz w:val="19"/>
                <w:szCs w:val="19"/>
              </w:rPr>
              <w:t xml:space="preserve"/>
            </w:r>
          </w:p>
        </w:tc>
      </w:tr>
      <w:tr>
        <w:tc>
          <w:tcPr>
            <w:tcW w:w="1200" w:type="dxa"/>
            <w:vAlign w:val="center"/>
          </w:tcPr>
          <w:p>
            <w:pPr>
              <w:spacing w:before="40" w:after="40"/>
            </w:pPr>
            <w:r>
              <w:rPr>
                <w:color w:val="221E1B"/>
                <w:sz w:val="19"/>
                <w:szCs w:val="19"/>
              </w:rPr>
              <w:t xml:space="preserve">Month 4</w:t>
            </w:r>
          </w:p>
        </w:tc>
        <w:tc>
          <w:tcPr>
            <w:tcW w:w="5300" w:type="dxa"/>
            <w:vAlign w:val="center"/>
          </w:tcPr>
          <w:p>
            <w:pPr>
              <w:spacing w:before="40" w:after="40"/>
            </w:pPr>
            <w:r>
              <w:rPr>
                <w:color w:val="221E1B"/>
                <w:sz w:val="19"/>
                <w:szCs w:val="19"/>
              </w:rPr>
              <w:t xml:space="preserve">ODSE pre-assessments reviewed - any new appointments since last review</w:t>
            </w:r>
          </w:p>
        </w:tc>
        <w:tc>
          <w:tcPr>
            <w:tcW w:w="2000" w:type="dxa"/>
            <w:vAlign w:val="center"/>
          </w:tcPr>
          <w:p>
            <w:pPr>
              <w:spacing w:before="40" w:after="40"/>
            </w:pPr>
            <w:r>
              <w:rPr>
                <w:color w:val="221E1B"/>
                <w:sz w:val="19"/>
                <w:szCs w:val="19"/>
              </w:rPr>
              <w:t xml:space="preserve">Regulatory Lead</w:t>
            </w:r>
          </w:p>
        </w:tc>
        <w:tc>
          <w:tcPr>
            <w:tcW w:w="1130" w:type="dxa"/>
            <w:vAlign w:val="center"/>
          </w:tcPr>
          <w:p>
            <w:pPr>
              <w:spacing w:before="40" w:after="40"/>
            </w:pPr>
            <w:r>
              <w:rPr>
                <w:color w:val="221E1B"/>
                <w:sz w:val="19"/>
                <w:szCs w:val="19"/>
              </w:rPr>
              <w:t xml:space="preserve"/>
            </w:r>
          </w:p>
        </w:tc>
      </w:tr>
      <w:tr>
        <w:tc>
          <w:tcPr>
            <w:tcW w:w="1200" w:type="dxa"/>
            <w:vAlign w:val="center"/>
          </w:tcPr>
          <w:p>
            <w:pPr>
              <w:spacing w:before="40" w:after="40"/>
            </w:pPr>
            <w:r>
              <w:rPr>
                <w:color w:val="221E1B"/>
                <w:sz w:val="19"/>
                <w:szCs w:val="19"/>
              </w:rPr>
              <w:t xml:space="preserve">Month 5</w:t>
            </w:r>
          </w:p>
        </w:tc>
        <w:tc>
          <w:tcPr>
            <w:tcW w:w="5300" w:type="dxa"/>
            <w:vAlign w:val="center"/>
          </w:tcPr>
          <w:p>
            <w:pPr>
              <w:spacing w:before="40" w:after="40"/>
            </w:pPr>
            <w:r>
              <w:rPr>
                <w:color w:val="221E1B"/>
                <w:sz w:val="19"/>
                <w:szCs w:val="19"/>
              </w:rPr>
              <w:t xml:space="preserve">Board meeting - strategic update with Fan Advisory Board input</w:t>
            </w:r>
          </w:p>
        </w:tc>
        <w:tc>
          <w:tcPr>
            <w:tcW w:w="2000" w:type="dxa"/>
            <w:vAlign w:val="center"/>
          </w:tcPr>
          <w:p>
            <w:pPr>
              <w:spacing w:before="40" w:after="40"/>
            </w:pPr>
            <w:r>
              <w:rPr>
                <w:color w:val="221E1B"/>
                <w:sz w:val="19"/>
                <w:szCs w:val="19"/>
              </w:rPr>
              <w:t xml:space="preserve">CEO / Board</w:t>
            </w:r>
          </w:p>
        </w:tc>
        <w:tc>
          <w:tcPr>
            <w:tcW w:w="1130" w:type="dxa"/>
            <w:vAlign w:val="center"/>
          </w:tcPr>
          <w:p>
            <w:pPr>
              <w:spacing w:before="40" w:after="40"/>
            </w:pPr>
            <w:r>
              <w:rPr>
                <w:color w:val="221E1B"/>
                <w:sz w:val="19"/>
                <w:szCs w:val="19"/>
              </w:rPr>
              <w:t xml:space="preserve"/>
            </w:r>
          </w:p>
        </w:tc>
      </w:tr>
      <w:tr>
        <w:tc>
          <w:tcPr>
            <w:tcW w:w="1200" w:type="dxa"/>
            <w:vAlign w:val="center"/>
          </w:tcPr>
          <w:p>
            <w:pPr>
              <w:spacing w:before="40" w:after="40"/>
            </w:pPr>
            <w:r>
              <w:rPr>
                <w:color w:val="221E1B"/>
                <w:sz w:val="19"/>
                <w:szCs w:val="19"/>
              </w:rPr>
              <w:t xml:space="preserve">Month 5</w:t>
            </w:r>
          </w:p>
        </w:tc>
        <w:tc>
          <w:tcPr>
            <w:tcW w:w="5300" w:type="dxa"/>
            <w:vAlign w:val="center"/>
          </w:tcPr>
          <w:p>
            <w:pPr>
              <w:spacing w:before="40" w:after="40"/>
            </w:pPr>
            <w:r>
              <w:rPr>
                <w:color w:val="221E1B"/>
                <w:sz w:val="19"/>
                <w:szCs w:val="19"/>
              </w:rPr>
              <w:t xml:space="preserve">Ticket pricing consultation process initiated for coming season</w:t>
            </w:r>
          </w:p>
        </w:tc>
        <w:tc>
          <w:tcPr>
            <w:tcW w:w="2000" w:type="dxa"/>
            <w:vAlign w:val="center"/>
          </w:tcPr>
          <w:p>
            <w:pPr>
              <w:spacing w:before="40" w:after="40"/>
            </w:pPr>
            <w:r>
              <w:rPr>
                <w:color w:val="221E1B"/>
                <w:sz w:val="19"/>
                <w:szCs w:val="19"/>
              </w:rPr>
              <w:t xml:space="preserve">Fan Engagement Lead</w:t>
            </w:r>
          </w:p>
        </w:tc>
        <w:tc>
          <w:tcPr>
            <w:tcW w:w="1130" w:type="dxa"/>
            <w:vAlign w:val="center"/>
          </w:tcPr>
          <w:p>
            <w:pPr>
              <w:spacing w:before="40" w:after="40"/>
            </w:pPr>
            <w:r>
              <w:rPr>
                <w:color w:val="221E1B"/>
                <w:sz w:val="19"/>
                <w:szCs w:val="19"/>
              </w:rPr>
              <w:t xml:space="preserve"/>
            </w:r>
          </w:p>
        </w:tc>
      </w:tr>
      <w:tr>
        <w:tc>
          <w:tcPr>
            <w:tcW w:w="1200" w:type="dxa"/>
            <w:vAlign w:val="center"/>
          </w:tcPr>
          <w:p>
            <w:pPr>
              <w:spacing w:before="40" w:after="40"/>
            </w:pPr>
            <w:r>
              <w:rPr>
                <w:color w:val="221E1B"/>
                <w:sz w:val="19"/>
                <w:szCs w:val="19"/>
              </w:rPr>
              <w:t xml:space="preserve">Month 6</w:t>
            </w:r>
          </w:p>
        </w:tc>
        <w:tc>
          <w:tcPr>
            <w:tcW w:w="5300" w:type="dxa"/>
            <w:vAlign w:val="center"/>
          </w:tcPr>
          <w:p>
            <w:pPr>
              <w:spacing w:before="40" w:after="40"/>
            </w:pPr>
            <w:r>
              <w:rPr>
                <w:color w:val="221E1B"/>
                <w:sz w:val="19"/>
                <w:szCs w:val="19"/>
              </w:rPr>
              <w:t xml:space="preserve">Board meeting - mid-year financial review including stress test update</w:t>
            </w:r>
          </w:p>
        </w:tc>
        <w:tc>
          <w:tcPr>
            <w:tcW w:w="2000" w:type="dxa"/>
            <w:vAlign w:val="center"/>
          </w:tcPr>
          <w:p>
            <w:pPr>
              <w:spacing w:before="40" w:after="40"/>
            </w:pPr>
            <w:r>
              <w:rPr>
                <w:color w:val="221E1B"/>
                <w:sz w:val="19"/>
                <w:szCs w:val="19"/>
              </w:rPr>
              <w:t xml:space="preserve">CFO / Board</w:t>
            </w:r>
          </w:p>
        </w:tc>
        <w:tc>
          <w:tcPr>
            <w:tcW w:w="1130" w:type="dxa"/>
            <w:vAlign w:val="center"/>
          </w:tcPr>
          <w:p>
            <w:pPr>
              <w:spacing w:before="40" w:after="40"/>
            </w:pPr>
            <w:r>
              <w:rPr>
                <w:color w:val="221E1B"/>
                <w:sz w:val="19"/>
                <w:szCs w:val="19"/>
              </w:rPr>
              <w:t xml:space="preserve"/>
            </w:r>
          </w:p>
        </w:tc>
      </w:tr>
      <w:tr>
        <w:tc>
          <w:tcPr>
            <w:tcW w:w="1200" w:type="dxa"/>
            <w:vAlign w:val="center"/>
          </w:tcPr>
          <w:p>
            <w:pPr>
              <w:spacing w:before="40" w:after="40"/>
            </w:pPr>
            <w:r>
              <w:rPr>
                <w:color w:val="221E1B"/>
                <w:sz w:val="19"/>
                <w:szCs w:val="19"/>
              </w:rPr>
              <w:t xml:space="preserve">Month 6</w:t>
            </w:r>
          </w:p>
        </w:tc>
        <w:tc>
          <w:tcPr>
            <w:tcW w:w="5300" w:type="dxa"/>
            <w:vAlign w:val="center"/>
          </w:tcPr>
          <w:p>
            <w:pPr>
              <w:spacing w:before="40" w:after="40"/>
            </w:pPr>
            <w:r>
              <w:rPr>
                <w:color w:val="221E1B"/>
                <w:sz w:val="19"/>
                <w:szCs w:val="19"/>
              </w:rPr>
              <w:t xml:space="preserve">Fan Advisory Board quarterly meeting - strategic direction consultation</w:t>
            </w:r>
          </w:p>
        </w:tc>
        <w:tc>
          <w:tcPr>
            <w:tcW w:w="2000" w:type="dxa"/>
            <w:vAlign w:val="center"/>
          </w:tcPr>
          <w:p>
            <w:pPr>
              <w:spacing w:before="40" w:after="40"/>
            </w:pPr>
            <w:r>
              <w:rPr>
                <w:color w:val="221E1B"/>
                <w:sz w:val="19"/>
                <w:szCs w:val="19"/>
              </w:rPr>
              <w:t xml:space="preserve">Fan Engagement Lead</w:t>
            </w:r>
          </w:p>
        </w:tc>
        <w:tc>
          <w:tcPr>
            <w:tcW w:w="1130" w:type="dxa"/>
            <w:vAlign w:val="center"/>
          </w:tcPr>
          <w:p>
            <w:pPr>
              <w:spacing w:before="40" w:after="40"/>
            </w:pPr>
            <w:r>
              <w:rPr>
                <w:color w:val="221E1B"/>
                <w:sz w:val="19"/>
                <w:szCs w:val="19"/>
              </w:rPr>
              <w:t xml:space="preserve"/>
            </w:r>
          </w:p>
        </w:tc>
      </w:tr>
      <w:tr>
        <w:tc>
          <w:tcPr>
            <w:tcW w:w="1200" w:type="dxa"/>
            <w:vAlign w:val="center"/>
          </w:tcPr>
          <w:p>
            <w:pPr>
              <w:spacing w:before="40" w:after="40"/>
            </w:pPr>
            <w:r>
              <w:rPr>
                <w:color w:val="221E1B"/>
                <w:sz w:val="19"/>
                <w:szCs w:val="19"/>
              </w:rPr>
              <w:t xml:space="preserve">Month 6</w:t>
            </w:r>
          </w:p>
        </w:tc>
        <w:tc>
          <w:tcPr>
            <w:tcW w:w="5300" w:type="dxa"/>
            <w:vAlign w:val="center"/>
          </w:tcPr>
          <w:p>
            <w:pPr>
              <w:spacing w:before="40" w:after="40"/>
            </w:pPr>
            <w:r>
              <w:rPr>
                <w:color w:val="221E1B"/>
                <w:sz w:val="19"/>
                <w:szCs w:val="19"/>
              </w:rPr>
              <w:t xml:space="preserve">Annual governance calendar reviewed for second half of year</w:t>
            </w:r>
          </w:p>
        </w:tc>
        <w:tc>
          <w:tcPr>
            <w:tcW w:w="2000" w:type="dxa"/>
            <w:vAlign w:val="center"/>
          </w:tcPr>
          <w:p>
            <w:pPr>
              <w:spacing w:before="40" w:after="40"/>
            </w:pPr>
            <w:r>
              <w:rPr>
                <w:color w:val="221E1B"/>
                <w:sz w:val="19"/>
                <w:szCs w:val="19"/>
              </w:rPr>
              <w:t xml:space="preserve">Regulatory Lead</w:t>
            </w:r>
          </w:p>
        </w:tc>
        <w:tc>
          <w:tcPr>
            <w:tcW w:w="1130" w:type="dxa"/>
            <w:vAlign w:val="center"/>
          </w:tcPr>
          <w:p>
            <w:pPr>
              <w:spacing w:before="40" w:after="40"/>
            </w:pPr>
            <w:r>
              <w:rPr>
                <w:color w:val="221E1B"/>
                <w:sz w:val="19"/>
                <w:szCs w:val="19"/>
              </w:rPr>
              <w:t xml:space="preserve"/>
            </w:r>
          </w:p>
        </w:tc>
      </w:tr>
    </w:tbl>
    <w:p>
      <w:pPr>
        <w:spacing w:after="120"/>
      </w:pPr>
    </w:p>
    <w:p>
      <w:pPr>
        <w:spacing w:after="120"/>
      </w:pPr>
      <w:r>
        <w:rPr>
          <w:b/>
          <w:color w:val="560BAD"/>
          <w:sz w:val="24"/>
          <w:szCs w:val="24"/>
        </w:rPr>
        <w:t xml:space="preserve">Q3 (months 7-9)</w:t>
      </w:r>
    </w:p>
    <w:tbl>
      <w:tblPr>
        <w:tblW w:w="0" w:type="auto"/>
        <w:tblLayout w:type="fixed"/>
        <w:tblBorders>
          <w:top w:val="single" w:sz="4" w:color="C9C2BA"/>
          <w:left w:val="single" w:sz="4" w:color="C9C2BA"/>
          <w:bottom w:val="single" w:sz="4" w:color="C9C2BA"/>
          <w:right w:val="single" w:sz="4" w:color="C9C2BA"/>
          <w:insideH w:val="single" w:sz="4" w:color="C9C2BA"/>
          <w:insideV w:val="single" w:sz="4" w:color="C9C2BA"/>
        </w:tblBorders>
      </w:tblPr>
      <w:tblGrid>
        <w:gridCol w:w="1200"/>
        <w:gridCol w:w="5300"/>
        <w:gridCol w:w="2000"/>
        <w:gridCol w:w="1130"/>
      </w:tblGrid>
      <w:tr>
        <w:trPr>
          <w:tblHeader/>
        </w:trPr>
        <w:tc>
          <w:tcPr>
            <w:tcW w:w="1200" w:type="dxa"/>
            <w:shd w:val="clear" w:color="auto" w:fill="560BAD"/>
            <w:vAlign w:val="center"/>
          </w:tcPr>
          <w:p>
            <w:pPr>
              <w:spacing w:before="40" w:after="40"/>
            </w:pPr>
            <w:r>
              <w:rPr>
                <w:b/>
                <w:color w:val="FFFFFF"/>
                <w:sz w:val="19"/>
                <w:szCs w:val="19"/>
              </w:rPr>
              <w:t xml:space="preserve">Month</w:t>
            </w:r>
          </w:p>
        </w:tc>
        <w:tc>
          <w:tcPr>
            <w:tcW w:w="5300" w:type="dxa"/>
            <w:shd w:val="clear" w:color="auto" w:fill="560BAD"/>
            <w:vAlign w:val="center"/>
          </w:tcPr>
          <w:p>
            <w:pPr>
              <w:spacing w:before="40" w:after="40"/>
            </w:pPr>
            <w:r>
              <w:rPr>
                <w:b/>
                <w:color w:val="FFFFFF"/>
                <w:sz w:val="19"/>
                <w:szCs w:val="19"/>
              </w:rPr>
              <w:t xml:space="preserve">Obligation</w:t>
            </w:r>
          </w:p>
        </w:tc>
        <w:tc>
          <w:tcPr>
            <w:tcW w:w="2000" w:type="dxa"/>
            <w:shd w:val="clear" w:color="auto" w:fill="560BAD"/>
            <w:vAlign w:val="center"/>
          </w:tcPr>
          <w:p>
            <w:pPr>
              <w:spacing w:before="40" w:after="40"/>
            </w:pPr>
            <w:r>
              <w:rPr>
                <w:b/>
                <w:color w:val="FFFFFF"/>
                <w:sz w:val="19"/>
                <w:szCs w:val="19"/>
              </w:rPr>
              <w:t xml:space="preserve">Owner</w:t>
            </w:r>
          </w:p>
        </w:tc>
        <w:tc>
          <w:tcPr>
            <w:tcW w:w="1130" w:type="dxa"/>
            <w:shd w:val="clear" w:color="auto" w:fill="560BAD"/>
            <w:vAlign w:val="center"/>
          </w:tcPr>
          <w:p>
            <w:pPr>
              <w:spacing w:before="40" w:after="40"/>
            </w:pPr>
            <w:r>
              <w:rPr>
                <w:b/>
                <w:color w:val="FFFFFF"/>
                <w:sz w:val="19"/>
                <w:szCs w:val="19"/>
              </w:rPr>
              <w:t xml:space="preserve">Status</w:t>
            </w:r>
          </w:p>
        </w:tc>
      </w:tr>
      <w:tr>
        <w:tc>
          <w:tcPr>
            <w:tcW w:w="1200" w:type="dxa"/>
            <w:vAlign w:val="center"/>
          </w:tcPr>
          <w:p>
            <w:pPr>
              <w:spacing w:before="40" w:after="40"/>
            </w:pPr>
            <w:r>
              <w:rPr>
                <w:color w:val="221E1B"/>
                <w:sz w:val="19"/>
                <w:szCs w:val="19"/>
              </w:rPr>
              <w:t xml:space="preserve">Month 7</w:t>
            </w:r>
          </w:p>
        </w:tc>
        <w:tc>
          <w:tcPr>
            <w:tcW w:w="5300" w:type="dxa"/>
            <w:vAlign w:val="center"/>
          </w:tcPr>
          <w:p>
            <w:pPr>
              <w:spacing w:before="40" w:after="40"/>
            </w:pPr>
            <w:r>
              <w:rPr>
                <w:color w:val="221E1B"/>
                <w:sz w:val="19"/>
                <w:szCs w:val="19"/>
              </w:rPr>
              <w:t xml:space="preserve">Board meeting - regulatory update including IFR developments</w:t>
            </w:r>
          </w:p>
        </w:tc>
        <w:tc>
          <w:tcPr>
            <w:tcW w:w="2000" w:type="dxa"/>
            <w:vAlign w:val="center"/>
          </w:tcPr>
          <w:p>
            <w:pPr>
              <w:spacing w:before="40" w:after="40"/>
            </w:pPr>
            <w:r>
              <w:rPr>
                <w:color w:val="221E1B"/>
                <w:sz w:val="19"/>
                <w:szCs w:val="19"/>
              </w:rPr>
              <w:t xml:space="preserve">Regulatory Lead / Board</w:t>
            </w:r>
          </w:p>
        </w:tc>
        <w:tc>
          <w:tcPr>
            <w:tcW w:w="1130" w:type="dxa"/>
            <w:vAlign w:val="center"/>
          </w:tcPr>
          <w:p>
            <w:pPr>
              <w:spacing w:before="40" w:after="40"/>
            </w:pPr>
            <w:r>
              <w:rPr>
                <w:color w:val="221E1B"/>
                <w:sz w:val="19"/>
                <w:szCs w:val="19"/>
              </w:rPr>
              <w:t xml:space="preserve"/>
            </w:r>
          </w:p>
        </w:tc>
      </w:tr>
      <w:tr>
        <w:tc>
          <w:tcPr>
            <w:tcW w:w="1200" w:type="dxa"/>
            <w:vAlign w:val="center"/>
          </w:tcPr>
          <w:p>
            <w:pPr>
              <w:spacing w:before="40" w:after="40"/>
            </w:pPr>
            <w:r>
              <w:rPr>
                <w:color w:val="221E1B"/>
                <w:sz w:val="19"/>
                <w:szCs w:val="19"/>
              </w:rPr>
              <w:t xml:space="preserve">Month 7</w:t>
            </w:r>
          </w:p>
        </w:tc>
        <w:tc>
          <w:tcPr>
            <w:tcW w:w="5300" w:type="dxa"/>
            <w:vAlign w:val="center"/>
          </w:tcPr>
          <w:p>
            <w:pPr>
              <w:spacing w:before="40" w:after="40"/>
            </w:pPr>
            <w:r>
              <w:rPr>
                <w:color w:val="221E1B"/>
                <w:sz w:val="19"/>
                <w:szCs w:val="19"/>
              </w:rPr>
              <w:t xml:space="preserve">AMLA football guidelines review - AML readiness update</w:t>
            </w:r>
          </w:p>
        </w:tc>
        <w:tc>
          <w:tcPr>
            <w:tcW w:w="2000" w:type="dxa"/>
            <w:vAlign w:val="center"/>
          </w:tcPr>
          <w:p>
            <w:pPr>
              <w:spacing w:before="40" w:after="40"/>
            </w:pPr>
            <w:r>
              <w:rPr>
                <w:color w:val="221E1B"/>
                <w:sz w:val="19"/>
                <w:szCs w:val="19"/>
              </w:rPr>
              <w:t xml:space="preserve">AML Compliance Officer</w:t>
            </w:r>
          </w:p>
        </w:tc>
        <w:tc>
          <w:tcPr>
            <w:tcW w:w="1130" w:type="dxa"/>
            <w:vAlign w:val="center"/>
          </w:tcPr>
          <w:p>
            <w:pPr>
              <w:spacing w:before="40" w:after="40"/>
            </w:pPr>
            <w:r>
              <w:rPr>
                <w:color w:val="221E1B"/>
                <w:sz w:val="19"/>
                <w:szCs w:val="19"/>
              </w:rPr>
              <w:t xml:space="preserve"/>
            </w:r>
          </w:p>
        </w:tc>
      </w:tr>
      <w:tr>
        <w:tc>
          <w:tcPr>
            <w:tcW w:w="1200" w:type="dxa"/>
            <w:vAlign w:val="center"/>
          </w:tcPr>
          <w:p>
            <w:pPr>
              <w:spacing w:before="40" w:after="40"/>
            </w:pPr>
            <w:r>
              <w:rPr>
                <w:color w:val="221E1B"/>
                <w:sz w:val="19"/>
                <w:szCs w:val="19"/>
              </w:rPr>
              <w:t xml:space="preserve">Month 8</w:t>
            </w:r>
          </w:p>
        </w:tc>
        <w:tc>
          <w:tcPr>
            <w:tcW w:w="5300" w:type="dxa"/>
            <w:vAlign w:val="center"/>
          </w:tcPr>
          <w:p>
            <w:pPr>
              <w:spacing w:before="40" w:after="40"/>
            </w:pPr>
            <w:r>
              <w:rPr>
                <w:color w:val="221E1B"/>
                <w:sz w:val="19"/>
                <w:szCs w:val="19"/>
              </w:rPr>
              <w:t xml:space="preserve">Board effectiveness review - individual assessments collected</w:t>
            </w:r>
          </w:p>
        </w:tc>
        <w:tc>
          <w:tcPr>
            <w:tcW w:w="2000" w:type="dxa"/>
            <w:vAlign w:val="center"/>
          </w:tcPr>
          <w:p>
            <w:pPr>
              <w:spacing w:before="40" w:after="40"/>
            </w:pPr>
            <w:r>
              <w:rPr>
                <w:color w:val="221E1B"/>
                <w:sz w:val="19"/>
                <w:szCs w:val="19"/>
              </w:rPr>
              <w:t xml:space="preserve">Board Chair</w:t>
            </w:r>
          </w:p>
        </w:tc>
        <w:tc>
          <w:tcPr>
            <w:tcW w:w="1130" w:type="dxa"/>
            <w:vAlign w:val="center"/>
          </w:tcPr>
          <w:p>
            <w:pPr>
              <w:spacing w:before="40" w:after="40"/>
            </w:pPr>
            <w:r>
              <w:rPr>
                <w:color w:val="221E1B"/>
                <w:sz w:val="19"/>
                <w:szCs w:val="19"/>
              </w:rPr>
              <w:t xml:space="preserve"/>
            </w:r>
          </w:p>
        </w:tc>
      </w:tr>
      <w:tr>
        <w:tc>
          <w:tcPr>
            <w:tcW w:w="1200" w:type="dxa"/>
            <w:vAlign w:val="center"/>
          </w:tcPr>
          <w:p>
            <w:pPr>
              <w:spacing w:before="40" w:after="40"/>
            </w:pPr>
            <w:r>
              <w:rPr>
                <w:color w:val="221E1B"/>
                <w:sz w:val="19"/>
                <w:szCs w:val="19"/>
              </w:rPr>
              <w:t xml:space="preserve">Month 8</w:t>
            </w:r>
          </w:p>
        </w:tc>
        <w:tc>
          <w:tcPr>
            <w:tcW w:w="5300" w:type="dxa"/>
            <w:vAlign w:val="center"/>
          </w:tcPr>
          <w:p>
            <w:pPr>
              <w:spacing w:before="40" w:after="40"/>
            </w:pPr>
            <w:r>
              <w:rPr>
                <w:color w:val="221E1B"/>
                <w:sz w:val="19"/>
                <w:szCs w:val="19"/>
              </w:rPr>
              <w:t xml:space="preserve">Risk register full review - all categories including IFR regulatory risk</w:t>
            </w:r>
          </w:p>
        </w:tc>
        <w:tc>
          <w:tcPr>
            <w:tcW w:w="2000" w:type="dxa"/>
            <w:vAlign w:val="center"/>
          </w:tcPr>
          <w:p>
            <w:pPr>
              <w:spacing w:before="40" w:after="40"/>
            </w:pPr>
            <w:r>
              <w:rPr>
                <w:color w:val="221E1B"/>
                <w:sz w:val="19"/>
                <w:szCs w:val="19"/>
              </w:rPr>
              <w:t xml:space="preserve">ARC Chair / CFO</w:t>
            </w:r>
          </w:p>
        </w:tc>
        <w:tc>
          <w:tcPr>
            <w:tcW w:w="1130" w:type="dxa"/>
            <w:vAlign w:val="center"/>
          </w:tcPr>
          <w:p>
            <w:pPr>
              <w:spacing w:before="40" w:after="40"/>
            </w:pPr>
            <w:r>
              <w:rPr>
                <w:color w:val="221E1B"/>
                <w:sz w:val="19"/>
                <w:szCs w:val="19"/>
              </w:rPr>
              <w:t xml:space="preserve"/>
            </w:r>
          </w:p>
        </w:tc>
      </w:tr>
      <w:tr>
        <w:tc>
          <w:tcPr>
            <w:tcW w:w="1200" w:type="dxa"/>
            <w:vAlign w:val="center"/>
          </w:tcPr>
          <w:p>
            <w:pPr>
              <w:spacing w:before="40" w:after="40"/>
            </w:pPr>
            <w:r>
              <w:rPr>
                <w:color w:val="221E1B"/>
                <w:sz w:val="19"/>
                <w:szCs w:val="19"/>
              </w:rPr>
              <w:t xml:space="preserve">Month 9</w:t>
            </w:r>
          </w:p>
        </w:tc>
        <w:tc>
          <w:tcPr>
            <w:tcW w:w="5300" w:type="dxa"/>
            <w:vAlign w:val="center"/>
          </w:tcPr>
          <w:p>
            <w:pPr>
              <w:spacing w:before="40" w:after="40"/>
            </w:pPr>
            <w:r>
              <w:rPr>
                <w:color w:val="221E1B"/>
                <w:sz w:val="19"/>
                <w:szCs w:val="19"/>
              </w:rPr>
              <w:t xml:space="preserve">Board meeting - board effectiveness results presented and remediation agreed</w:t>
            </w:r>
          </w:p>
        </w:tc>
        <w:tc>
          <w:tcPr>
            <w:tcW w:w="2000" w:type="dxa"/>
            <w:vAlign w:val="center"/>
          </w:tcPr>
          <w:p>
            <w:pPr>
              <w:spacing w:before="40" w:after="40"/>
            </w:pPr>
            <w:r>
              <w:rPr>
                <w:color w:val="221E1B"/>
                <w:sz w:val="19"/>
                <w:szCs w:val="19"/>
              </w:rPr>
              <w:t xml:space="preserve">Board Chair</w:t>
            </w:r>
          </w:p>
        </w:tc>
        <w:tc>
          <w:tcPr>
            <w:tcW w:w="1130" w:type="dxa"/>
            <w:vAlign w:val="center"/>
          </w:tcPr>
          <w:p>
            <w:pPr>
              <w:spacing w:before="40" w:after="40"/>
            </w:pPr>
            <w:r>
              <w:rPr>
                <w:color w:val="221E1B"/>
                <w:sz w:val="19"/>
                <w:szCs w:val="19"/>
              </w:rPr>
              <w:t xml:space="preserve"/>
            </w:r>
          </w:p>
        </w:tc>
      </w:tr>
      <w:tr>
        <w:tc>
          <w:tcPr>
            <w:tcW w:w="1200" w:type="dxa"/>
            <w:vAlign w:val="center"/>
          </w:tcPr>
          <w:p>
            <w:pPr>
              <w:spacing w:before="40" w:after="40"/>
            </w:pPr>
            <w:r>
              <w:rPr>
                <w:color w:val="221E1B"/>
                <w:sz w:val="19"/>
                <w:szCs w:val="19"/>
              </w:rPr>
              <w:t xml:space="preserve">Month 9</w:t>
            </w:r>
          </w:p>
        </w:tc>
        <w:tc>
          <w:tcPr>
            <w:tcW w:w="5300" w:type="dxa"/>
            <w:vAlign w:val="center"/>
          </w:tcPr>
          <w:p>
            <w:pPr>
              <w:spacing w:before="40" w:after="40"/>
            </w:pPr>
            <w:r>
              <w:rPr>
                <w:color w:val="221E1B"/>
                <w:sz w:val="19"/>
                <w:szCs w:val="19"/>
              </w:rPr>
              <w:t xml:space="preserve">Fan Advisory Board quarterly meeting</w:t>
            </w:r>
          </w:p>
        </w:tc>
        <w:tc>
          <w:tcPr>
            <w:tcW w:w="2000" w:type="dxa"/>
            <w:vAlign w:val="center"/>
          </w:tcPr>
          <w:p>
            <w:pPr>
              <w:spacing w:before="40" w:after="40"/>
            </w:pPr>
            <w:r>
              <w:rPr>
                <w:color w:val="221E1B"/>
                <w:sz w:val="19"/>
                <w:szCs w:val="19"/>
              </w:rPr>
              <w:t xml:space="preserve">Fan Engagement Lead</w:t>
            </w:r>
          </w:p>
        </w:tc>
        <w:tc>
          <w:tcPr>
            <w:tcW w:w="1130" w:type="dxa"/>
            <w:vAlign w:val="center"/>
          </w:tcPr>
          <w:p>
            <w:pPr>
              <w:spacing w:before="40" w:after="40"/>
            </w:pPr>
            <w:r>
              <w:rPr>
                <w:color w:val="221E1B"/>
                <w:sz w:val="19"/>
                <w:szCs w:val="19"/>
              </w:rPr>
              <w:t xml:space="preserve"/>
            </w:r>
          </w:p>
        </w:tc>
      </w:tr>
      <w:tr>
        <w:tc>
          <w:tcPr>
            <w:tcW w:w="1200" w:type="dxa"/>
            <w:vAlign w:val="center"/>
          </w:tcPr>
          <w:p>
            <w:pPr>
              <w:spacing w:before="40" w:after="40"/>
            </w:pPr>
            <w:r>
              <w:rPr>
                <w:color w:val="221E1B"/>
                <w:sz w:val="19"/>
                <w:szCs w:val="19"/>
              </w:rPr>
              <w:t xml:space="preserve">Month 9</w:t>
            </w:r>
          </w:p>
        </w:tc>
        <w:tc>
          <w:tcPr>
            <w:tcW w:w="5300" w:type="dxa"/>
            <w:vAlign w:val="center"/>
          </w:tcPr>
          <w:p>
            <w:pPr>
              <w:spacing w:before="40" w:after="40"/>
            </w:pPr>
            <w:r>
              <w:rPr>
                <w:color w:val="221E1B"/>
                <w:sz w:val="19"/>
                <w:szCs w:val="19"/>
              </w:rPr>
              <w:t xml:space="preserve">Heritage stewardship audit - annual review of club identity assets</w:t>
            </w:r>
          </w:p>
        </w:tc>
        <w:tc>
          <w:tcPr>
            <w:tcW w:w="2000" w:type="dxa"/>
            <w:vAlign w:val="center"/>
          </w:tcPr>
          <w:p>
            <w:pPr>
              <w:spacing w:before="40" w:after="40"/>
            </w:pPr>
            <w:r>
              <w:rPr>
                <w:color w:val="221E1B"/>
                <w:sz w:val="19"/>
                <w:szCs w:val="19"/>
              </w:rPr>
              <w:t xml:space="preserve">Board Chair</w:t>
            </w:r>
          </w:p>
        </w:tc>
        <w:tc>
          <w:tcPr>
            <w:tcW w:w="1130" w:type="dxa"/>
            <w:vAlign w:val="center"/>
          </w:tcPr>
          <w:p>
            <w:pPr>
              <w:spacing w:before="40" w:after="40"/>
            </w:pPr>
            <w:r>
              <w:rPr>
                <w:color w:val="221E1B"/>
                <w:sz w:val="19"/>
                <w:szCs w:val="19"/>
              </w:rPr>
              <w:t xml:space="preserve"/>
            </w:r>
          </w:p>
        </w:tc>
      </w:tr>
    </w:tbl>
    <w:p>
      <w:pPr>
        <w:spacing w:after="120"/>
      </w:pPr>
    </w:p>
    <w:p>
      <w:pPr>
        <w:spacing w:after="120"/>
      </w:pPr>
      <w:r>
        <w:rPr>
          <w:b/>
          <w:color w:val="560BAD"/>
          <w:sz w:val="24"/>
          <w:szCs w:val="24"/>
        </w:rPr>
        <w:t xml:space="preserve">Q4 (months 10-12)</w:t>
      </w:r>
    </w:p>
    <w:tbl>
      <w:tblPr>
        <w:tblW w:w="0" w:type="auto"/>
        <w:tblLayout w:type="fixed"/>
        <w:tblBorders>
          <w:top w:val="single" w:sz="4" w:color="C9C2BA"/>
          <w:left w:val="single" w:sz="4" w:color="C9C2BA"/>
          <w:bottom w:val="single" w:sz="4" w:color="C9C2BA"/>
          <w:right w:val="single" w:sz="4" w:color="C9C2BA"/>
          <w:insideH w:val="single" w:sz="4" w:color="C9C2BA"/>
          <w:insideV w:val="single" w:sz="4" w:color="C9C2BA"/>
        </w:tblBorders>
      </w:tblPr>
      <w:tblGrid>
        <w:gridCol w:w="1200"/>
        <w:gridCol w:w="5300"/>
        <w:gridCol w:w="2000"/>
        <w:gridCol w:w="1130"/>
      </w:tblGrid>
      <w:tr>
        <w:trPr>
          <w:tblHeader/>
        </w:trPr>
        <w:tc>
          <w:tcPr>
            <w:tcW w:w="1200" w:type="dxa"/>
            <w:shd w:val="clear" w:color="auto" w:fill="560BAD"/>
            <w:vAlign w:val="center"/>
          </w:tcPr>
          <w:p>
            <w:pPr>
              <w:spacing w:before="40" w:after="40"/>
            </w:pPr>
            <w:r>
              <w:rPr>
                <w:b/>
                <w:color w:val="FFFFFF"/>
                <w:sz w:val="19"/>
                <w:szCs w:val="19"/>
              </w:rPr>
              <w:t xml:space="preserve">Month</w:t>
            </w:r>
          </w:p>
        </w:tc>
        <w:tc>
          <w:tcPr>
            <w:tcW w:w="5300" w:type="dxa"/>
            <w:shd w:val="clear" w:color="auto" w:fill="560BAD"/>
            <w:vAlign w:val="center"/>
          </w:tcPr>
          <w:p>
            <w:pPr>
              <w:spacing w:before="40" w:after="40"/>
            </w:pPr>
            <w:r>
              <w:rPr>
                <w:b/>
                <w:color w:val="FFFFFF"/>
                <w:sz w:val="19"/>
                <w:szCs w:val="19"/>
              </w:rPr>
              <w:t xml:space="preserve">Obligation</w:t>
            </w:r>
          </w:p>
        </w:tc>
        <w:tc>
          <w:tcPr>
            <w:tcW w:w="2000" w:type="dxa"/>
            <w:shd w:val="clear" w:color="auto" w:fill="560BAD"/>
            <w:vAlign w:val="center"/>
          </w:tcPr>
          <w:p>
            <w:pPr>
              <w:spacing w:before="40" w:after="40"/>
            </w:pPr>
            <w:r>
              <w:rPr>
                <w:b/>
                <w:color w:val="FFFFFF"/>
                <w:sz w:val="19"/>
                <w:szCs w:val="19"/>
              </w:rPr>
              <w:t xml:space="preserve">Owner</w:t>
            </w:r>
          </w:p>
        </w:tc>
        <w:tc>
          <w:tcPr>
            <w:tcW w:w="1130" w:type="dxa"/>
            <w:shd w:val="clear" w:color="auto" w:fill="560BAD"/>
            <w:vAlign w:val="center"/>
          </w:tcPr>
          <w:p>
            <w:pPr>
              <w:spacing w:before="40" w:after="40"/>
            </w:pPr>
            <w:r>
              <w:rPr>
                <w:b/>
                <w:color w:val="FFFFFF"/>
                <w:sz w:val="19"/>
                <w:szCs w:val="19"/>
              </w:rPr>
              <w:t xml:space="preserve">Status</w:t>
            </w:r>
          </w:p>
        </w:tc>
      </w:tr>
      <w:tr>
        <w:tc>
          <w:tcPr>
            <w:tcW w:w="1200" w:type="dxa"/>
            <w:vAlign w:val="center"/>
          </w:tcPr>
          <w:p>
            <w:pPr>
              <w:spacing w:before="40" w:after="40"/>
            </w:pPr>
            <w:r>
              <w:rPr>
                <w:color w:val="221E1B"/>
                <w:sz w:val="19"/>
                <w:szCs w:val="19"/>
              </w:rPr>
              <w:t xml:space="preserve">Month 10</w:t>
            </w:r>
          </w:p>
        </w:tc>
        <w:tc>
          <w:tcPr>
            <w:tcW w:w="5300" w:type="dxa"/>
            <w:vAlign w:val="center"/>
          </w:tcPr>
          <w:p>
            <w:pPr>
              <w:spacing w:before="40" w:after="40"/>
            </w:pPr>
            <w:r>
              <w:rPr>
                <w:color w:val="221E1B"/>
                <w:sz w:val="19"/>
                <w:szCs w:val="19"/>
              </w:rPr>
              <w:t xml:space="preserve">Board meeting - IFR licence readiness review</w:t>
            </w:r>
          </w:p>
        </w:tc>
        <w:tc>
          <w:tcPr>
            <w:tcW w:w="2000" w:type="dxa"/>
            <w:vAlign w:val="center"/>
          </w:tcPr>
          <w:p>
            <w:pPr>
              <w:spacing w:before="40" w:after="40"/>
            </w:pPr>
            <w:r>
              <w:rPr>
                <w:color w:val="221E1B"/>
                <w:sz w:val="19"/>
                <w:szCs w:val="19"/>
              </w:rPr>
              <w:t xml:space="preserve">Regulatory Lead / Board</w:t>
            </w:r>
          </w:p>
        </w:tc>
        <w:tc>
          <w:tcPr>
            <w:tcW w:w="1130" w:type="dxa"/>
            <w:vAlign w:val="center"/>
          </w:tcPr>
          <w:p>
            <w:pPr>
              <w:spacing w:before="40" w:after="40"/>
            </w:pPr>
            <w:r>
              <w:rPr>
                <w:color w:val="221E1B"/>
                <w:sz w:val="19"/>
                <w:szCs w:val="19"/>
              </w:rPr>
              <w:t xml:space="preserve"/>
            </w:r>
          </w:p>
        </w:tc>
      </w:tr>
      <w:tr>
        <w:tc>
          <w:tcPr>
            <w:tcW w:w="1200" w:type="dxa"/>
            <w:vAlign w:val="center"/>
          </w:tcPr>
          <w:p>
            <w:pPr>
              <w:spacing w:before="40" w:after="40"/>
            </w:pPr>
            <w:r>
              <w:rPr>
                <w:color w:val="221E1B"/>
                <w:sz w:val="19"/>
                <w:szCs w:val="19"/>
              </w:rPr>
              <w:t xml:space="preserve">Month 10</w:t>
            </w:r>
          </w:p>
        </w:tc>
        <w:tc>
          <w:tcPr>
            <w:tcW w:w="5300" w:type="dxa"/>
            <w:vAlign w:val="center"/>
          </w:tcPr>
          <w:p>
            <w:pPr>
              <w:spacing w:before="40" w:after="40"/>
            </w:pPr>
            <w:r>
              <w:rPr>
                <w:color w:val="221E1B"/>
                <w:sz w:val="19"/>
                <w:szCs w:val="19"/>
              </w:rPr>
              <w:t xml:space="preserve">AML readiness assessment reviewed</w:t>
            </w:r>
          </w:p>
        </w:tc>
        <w:tc>
          <w:tcPr>
            <w:tcW w:w="2000" w:type="dxa"/>
            <w:vAlign w:val="center"/>
          </w:tcPr>
          <w:p>
            <w:pPr>
              <w:spacing w:before="40" w:after="40"/>
            </w:pPr>
            <w:r>
              <w:rPr>
                <w:color w:val="221E1B"/>
                <w:sz w:val="19"/>
                <w:szCs w:val="19"/>
              </w:rPr>
              <w:t xml:space="preserve">AML Compliance Officer</w:t>
            </w:r>
          </w:p>
        </w:tc>
        <w:tc>
          <w:tcPr>
            <w:tcW w:w="1130" w:type="dxa"/>
            <w:vAlign w:val="center"/>
          </w:tcPr>
          <w:p>
            <w:pPr>
              <w:spacing w:before="40" w:after="40"/>
            </w:pPr>
            <w:r>
              <w:rPr>
                <w:color w:val="221E1B"/>
                <w:sz w:val="19"/>
                <w:szCs w:val="19"/>
              </w:rPr>
              <w:t xml:space="preserve"/>
            </w:r>
          </w:p>
        </w:tc>
      </w:tr>
      <w:tr>
        <w:tc>
          <w:tcPr>
            <w:tcW w:w="1200" w:type="dxa"/>
            <w:vAlign w:val="center"/>
          </w:tcPr>
          <w:p>
            <w:pPr>
              <w:spacing w:before="40" w:after="40"/>
            </w:pPr>
            <w:r>
              <w:rPr>
                <w:color w:val="221E1B"/>
                <w:sz w:val="19"/>
                <w:szCs w:val="19"/>
              </w:rPr>
              <w:t xml:space="preserve">Month 11</w:t>
            </w:r>
          </w:p>
        </w:tc>
        <w:tc>
          <w:tcPr>
            <w:tcW w:w="5300" w:type="dxa"/>
            <w:vAlign w:val="center"/>
          </w:tcPr>
          <w:p>
            <w:pPr>
              <w:spacing w:before="40" w:after="40"/>
            </w:pPr>
            <w:r>
              <w:rPr>
                <w:color w:val="221E1B"/>
                <w:sz w:val="19"/>
                <w:szCs w:val="19"/>
              </w:rPr>
              <w:t xml:space="preserve">Board meeting - next year governance calendar drafted</w:t>
            </w:r>
          </w:p>
        </w:tc>
        <w:tc>
          <w:tcPr>
            <w:tcW w:w="2000" w:type="dxa"/>
            <w:vAlign w:val="center"/>
          </w:tcPr>
          <w:p>
            <w:pPr>
              <w:spacing w:before="40" w:after="40"/>
            </w:pPr>
            <w:r>
              <w:rPr>
                <w:color w:val="221E1B"/>
                <w:sz w:val="19"/>
                <w:szCs w:val="19"/>
              </w:rPr>
              <w:t xml:space="preserve">Regulatory Lead / Board</w:t>
            </w:r>
          </w:p>
        </w:tc>
        <w:tc>
          <w:tcPr>
            <w:tcW w:w="1130" w:type="dxa"/>
            <w:vAlign w:val="center"/>
          </w:tcPr>
          <w:p>
            <w:pPr>
              <w:spacing w:before="40" w:after="40"/>
            </w:pPr>
            <w:r>
              <w:rPr>
                <w:color w:val="221E1B"/>
                <w:sz w:val="19"/>
                <w:szCs w:val="19"/>
              </w:rPr>
              <w:t xml:space="preserve"/>
            </w:r>
          </w:p>
        </w:tc>
      </w:tr>
      <w:tr>
        <w:tc>
          <w:tcPr>
            <w:tcW w:w="1200" w:type="dxa"/>
            <w:vAlign w:val="center"/>
          </w:tcPr>
          <w:p>
            <w:pPr>
              <w:spacing w:before="40" w:after="40"/>
            </w:pPr>
            <w:r>
              <w:rPr>
                <w:color w:val="221E1B"/>
                <w:sz w:val="19"/>
                <w:szCs w:val="19"/>
              </w:rPr>
              <w:t xml:space="preserve">Month 11</w:t>
            </w:r>
          </w:p>
        </w:tc>
        <w:tc>
          <w:tcPr>
            <w:tcW w:w="5300" w:type="dxa"/>
            <w:vAlign w:val="center"/>
          </w:tcPr>
          <w:p>
            <w:pPr>
              <w:spacing w:before="40" w:after="40"/>
            </w:pPr>
            <w:r>
              <w:rPr>
                <w:color w:val="221E1B"/>
                <w:sz w:val="19"/>
                <w:szCs w:val="19"/>
              </w:rPr>
              <w:t xml:space="preserve">Fan engagement compliance checklist completed for year</w:t>
            </w:r>
          </w:p>
        </w:tc>
        <w:tc>
          <w:tcPr>
            <w:tcW w:w="2000" w:type="dxa"/>
            <w:vAlign w:val="center"/>
          </w:tcPr>
          <w:p>
            <w:pPr>
              <w:spacing w:before="40" w:after="40"/>
            </w:pPr>
            <w:r>
              <w:rPr>
                <w:color w:val="221E1B"/>
                <w:sz w:val="19"/>
                <w:szCs w:val="19"/>
              </w:rPr>
              <w:t xml:space="preserve">Fan Engagement Lead</w:t>
            </w:r>
          </w:p>
        </w:tc>
        <w:tc>
          <w:tcPr>
            <w:tcW w:w="1130" w:type="dxa"/>
            <w:vAlign w:val="center"/>
          </w:tcPr>
          <w:p>
            <w:pPr>
              <w:spacing w:before="40" w:after="40"/>
            </w:pPr>
            <w:r>
              <w:rPr>
                <w:color w:val="221E1B"/>
                <w:sz w:val="19"/>
                <w:szCs w:val="19"/>
              </w:rPr>
              <w:t xml:space="preserve"/>
            </w:r>
          </w:p>
        </w:tc>
      </w:tr>
      <w:tr>
        <w:tc>
          <w:tcPr>
            <w:tcW w:w="1200" w:type="dxa"/>
            <w:vAlign w:val="center"/>
          </w:tcPr>
          <w:p>
            <w:pPr>
              <w:spacing w:before="40" w:after="40"/>
            </w:pPr>
            <w:r>
              <w:rPr>
                <w:color w:val="221E1B"/>
                <w:sz w:val="19"/>
                <w:szCs w:val="19"/>
              </w:rPr>
              <w:t xml:space="preserve">Month 12</w:t>
            </w:r>
          </w:p>
        </w:tc>
        <w:tc>
          <w:tcPr>
            <w:tcW w:w="5300" w:type="dxa"/>
            <w:vAlign w:val="center"/>
          </w:tcPr>
          <w:p>
            <w:pPr>
              <w:spacing w:before="40" w:after="40"/>
            </w:pPr>
            <w:r>
              <w:rPr>
                <w:color w:val="221E1B"/>
                <w:sz w:val="19"/>
                <w:szCs w:val="19"/>
              </w:rPr>
              <w:t xml:space="preserve">Board meeting - year-end financial review; next year budget approval</w:t>
            </w:r>
          </w:p>
        </w:tc>
        <w:tc>
          <w:tcPr>
            <w:tcW w:w="2000" w:type="dxa"/>
            <w:vAlign w:val="center"/>
          </w:tcPr>
          <w:p>
            <w:pPr>
              <w:spacing w:before="40" w:after="40"/>
            </w:pPr>
            <w:r>
              <w:rPr>
                <w:color w:val="221E1B"/>
                <w:sz w:val="19"/>
                <w:szCs w:val="19"/>
              </w:rPr>
              <w:t xml:space="preserve">CFO / Board</w:t>
            </w:r>
          </w:p>
        </w:tc>
        <w:tc>
          <w:tcPr>
            <w:tcW w:w="1130" w:type="dxa"/>
            <w:vAlign w:val="center"/>
          </w:tcPr>
          <w:p>
            <w:pPr>
              <w:spacing w:before="40" w:after="40"/>
            </w:pPr>
            <w:r>
              <w:rPr>
                <w:color w:val="221E1B"/>
                <w:sz w:val="19"/>
                <w:szCs w:val="19"/>
              </w:rPr>
              <w:t xml:space="preserve"/>
            </w:r>
          </w:p>
        </w:tc>
      </w:tr>
      <w:tr>
        <w:tc>
          <w:tcPr>
            <w:tcW w:w="1200" w:type="dxa"/>
            <w:vAlign w:val="center"/>
          </w:tcPr>
          <w:p>
            <w:pPr>
              <w:spacing w:before="40" w:after="40"/>
            </w:pPr>
            <w:r>
              <w:rPr>
                <w:color w:val="221E1B"/>
                <w:sz w:val="19"/>
                <w:szCs w:val="19"/>
              </w:rPr>
              <w:t xml:space="preserve">Month 12</w:t>
            </w:r>
          </w:p>
        </w:tc>
        <w:tc>
          <w:tcPr>
            <w:tcW w:w="5300" w:type="dxa"/>
            <w:vAlign w:val="center"/>
          </w:tcPr>
          <w:p>
            <w:pPr>
              <w:spacing w:before="40" w:after="40"/>
            </w:pPr>
            <w:r>
              <w:rPr>
                <w:color w:val="221E1B"/>
                <w:sz w:val="19"/>
                <w:szCs w:val="19"/>
              </w:rPr>
              <w:t xml:space="preserve">Fan Advisory Board quarterly meeting - end-of-year review</w:t>
            </w:r>
          </w:p>
        </w:tc>
        <w:tc>
          <w:tcPr>
            <w:tcW w:w="2000" w:type="dxa"/>
            <w:vAlign w:val="center"/>
          </w:tcPr>
          <w:p>
            <w:pPr>
              <w:spacing w:before="40" w:after="40"/>
            </w:pPr>
            <w:r>
              <w:rPr>
                <w:color w:val="221E1B"/>
                <w:sz w:val="19"/>
                <w:szCs w:val="19"/>
              </w:rPr>
              <w:t xml:space="preserve">Fan Engagement Lead</w:t>
            </w:r>
          </w:p>
        </w:tc>
        <w:tc>
          <w:tcPr>
            <w:tcW w:w="1130" w:type="dxa"/>
            <w:vAlign w:val="center"/>
          </w:tcPr>
          <w:p>
            <w:pPr>
              <w:spacing w:before="40" w:after="40"/>
            </w:pPr>
            <w:r>
              <w:rPr>
                <w:color w:val="221E1B"/>
                <w:sz w:val="19"/>
                <w:szCs w:val="19"/>
              </w:rPr>
              <w:t xml:space="preserve"/>
            </w:r>
          </w:p>
        </w:tc>
      </w:tr>
      <w:tr>
        <w:tc>
          <w:tcPr>
            <w:tcW w:w="1200" w:type="dxa"/>
            <w:vAlign w:val="center"/>
          </w:tcPr>
          <w:p>
            <w:pPr>
              <w:spacing w:before="40" w:after="40"/>
            </w:pPr>
            <w:r>
              <w:rPr>
                <w:color w:val="221E1B"/>
                <w:sz w:val="19"/>
                <w:szCs w:val="19"/>
              </w:rPr>
              <w:t xml:space="preserve">Month 12</w:t>
            </w:r>
          </w:p>
        </w:tc>
        <w:tc>
          <w:tcPr>
            <w:tcW w:w="5300" w:type="dxa"/>
            <w:vAlign w:val="center"/>
          </w:tcPr>
          <w:p>
            <w:pPr>
              <w:spacing w:before="40" w:after="40"/>
            </w:pPr>
            <w:r>
              <w:rPr>
                <w:color w:val="221E1B"/>
                <w:sz w:val="19"/>
                <w:szCs w:val="19"/>
              </w:rPr>
              <w:t xml:space="preserve">Annual ODSE fitness self-assessments completed for all covered individuals</w:t>
            </w:r>
          </w:p>
        </w:tc>
        <w:tc>
          <w:tcPr>
            <w:tcW w:w="2000" w:type="dxa"/>
            <w:vAlign w:val="center"/>
          </w:tcPr>
          <w:p>
            <w:pPr>
              <w:spacing w:before="40" w:after="40"/>
            </w:pPr>
            <w:r>
              <w:rPr>
                <w:color w:val="221E1B"/>
                <w:sz w:val="19"/>
                <w:szCs w:val="19"/>
              </w:rPr>
              <w:t xml:space="preserve">Regulatory Lead</w:t>
            </w:r>
          </w:p>
        </w:tc>
        <w:tc>
          <w:tcPr>
            <w:tcW w:w="1130" w:type="dxa"/>
            <w:vAlign w:val="center"/>
          </w:tcPr>
          <w:p>
            <w:pPr>
              <w:spacing w:before="40" w:after="40"/>
            </w:pPr>
            <w:r>
              <w:rPr>
                <w:color w:val="221E1B"/>
                <w:sz w:val="19"/>
                <w:szCs w:val="19"/>
              </w:rPr>
              <w:t xml:space="preserve"/>
            </w:r>
          </w:p>
        </w:tc>
      </w:tr>
      <w:tr>
        <w:tc>
          <w:tcPr>
            <w:tcW w:w="1200" w:type="dxa"/>
            <w:vAlign w:val="center"/>
          </w:tcPr>
          <w:p>
            <w:pPr>
              <w:spacing w:before="40" w:after="40"/>
            </w:pPr>
            <w:r>
              <w:rPr>
                <w:color w:val="221E1B"/>
                <w:sz w:val="19"/>
                <w:szCs w:val="19"/>
              </w:rPr>
              <w:t xml:space="preserve">Month 12</w:t>
            </w:r>
          </w:p>
        </w:tc>
        <w:tc>
          <w:tcPr>
            <w:tcW w:w="5300" w:type="dxa"/>
            <w:vAlign w:val="center"/>
          </w:tcPr>
          <w:p>
            <w:pPr>
              <w:spacing w:before="40" w:after="40"/>
            </w:pPr>
            <w:r>
              <w:rPr>
                <w:color w:val="221E1B"/>
                <w:sz w:val="19"/>
                <w:szCs w:val="19"/>
              </w:rPr>
              <w:t xml:space="preserve">Governance calendar for next year approved by board</w:t>
            </w:r>
          </w:p>
        </w:tc>
        <w:tc>
          <w:tcPr>
            <w:tcW w:w="2000" w:type="dxa"/>
            <w:vAlign w:val="center"/>
          </w:tcPr>
          <w:p>
            <w:pPr>
              <w:spacing w:before="40" w:after="40"/>
            </w:pPr>
            <w:r>
              <w:rPr>
                <w:color w:val="221E1B"/>
                <w:sz w:val="19"/>
                <w:szCs w:val="19"/>
              </w:rPr>
              <w:t xml:space="preserve">Board Chair</w:t>
            </w:r>
          </w:p>
        </w:tc>
        <w:tc>
          <w:tcPr>
            <w:tcW w:w="1130" w:type="dxa"/>
            <w:vAlign w:val="center"/>
          </w:tcPr>
          <w:p>
            <w:pPr>
              <w:spacing w:before="40" w:after="40"/>
            </w:pPr>
            <w:r>
              <w:rPr>
                <w:color w:val="221E1B"/>
                <w:sz w:val="19"/>
                <w:szCs w:val="19"/>
              </w:rPr>
              <w:t xml:space="preserve"/>
            </w:r>
          </w:p>
        </w:tc>
      </w:tr>
    </w:tbl>
    <w:p>
      <w:pPr>
        <w:spacing w:after="120"/>
      </w:pPr>
    </w:p>
    <w:p>
      <w:pPr>
        <w:spacing w:after="200"/>
      </w:pPr>
      <w:r>
        <w:rPr>
          <w:color w:val="5C5550"/>
          <w:sz w:val="18"/>
          <w:szCs w:val="18"/>
        </w:rPr>
        <w:t xml:space="preserve">Add club-specific deadlines: financial year-end reporting, player registration windows, HMRC intermediary report deadlines, EFL/FA regulatory submission dates, and any IFR-specific notification obligations as they are established through the licensing process.</w:t>
      </w:r>
    </w:p>
    <w:p>
      <w:pPr>
        <w:spacing w:after="0"/>
      </w:pPr>
      <w:r>
        <w:rPr>
          <w:color w:val="8A847E"/>
          <w:sz w:val="16"/>
          <w:szCs w:val="16"/>
        </w:rPr>
        <w:t xml:space="preserve">Published by Fideo Global Â· Independent of the Independent Football Regulator Â· Not legal advice.</w:t>
      </w:r>
    </w:p>
    <w:sectPr>
      <w:pgSz w:w="11906" w:h="16838"/>
      <w:pgMar w:top="1134" w:right="1134" w:bottom="1134" w:left="1134" w:header="709" w:footer="709"/>
    </w:sectPr>
  </w:body>
</w:document>
</file>