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560BAD"/>
          <w:sz w:val="40"/>
          <w:szCs w:val="40"/>
        </w:rPr>
        <w:t xml:space="preserve">Fan Engagement Compliance Checklist</w:t>
      </w:r>
    </w:p>
    <w:p>
      <w:pPr>
        <w:spacing w:after="220"/>
      </w:pPr>
      <w:r>
        <w:rPr>
          <w:color w:val="8A847E"/>
          <w:sz w:val="18"/>
          <w:szCs w:val="18"/>
        </w:rPr>
        <w:t xml:space="preserve">IFR Hub Governance Toolkit  Â·  ifrhub.co.uk</w:t>
      </w:r>
    </w:p>
    <w:p>
      <w:pPr>
        <w:spacing w:after="200"/>
      </w:pPr>
      <w:r>
        <w:rPr>
          <w:color w:val="221E1B"/>
          <w:sz w:val="21"/>
          <w:szCs w:val="21"/>
        </w:rPr>
        <w:t xml:space="preserve">An annual checklist for the club's compliance with statutory fan engagement obligations under the Football Governance Act 2025. To be completed by the regulatory lead and presented to the board annually.</w:t>
      </w: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Structural Requirements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500"/>
        <w:gridCol w:w="4900"/>
        <w:gridCol w:w="2400"/>
        <w:gridCol w:w="1830"/>
      </w:tblGrid>
      <w:tr>
        <w:trPr>
          <w:tblHeader/>
        </w:trPr>
        <w:tc>
          <w:tcPr>
            <w:tcW w:w="5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☐</w:t>
            </w:r>
          </w:p>
        </w:tc>
        <w:tc>
          <w:tcPr>
            <w:tcW w:w="49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w="24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Evidence</w:t>
            </w:r>
          </w:p>
        </w:tc>
        <w:tc>
          <w:tcPr>
            <w:tcW w:w="183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Last Reviewed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4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Fan Advisory Board (or equivalent) constituted with documented terms of reference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ToR document</w:t>
            </w:r>
          </w:p>
        </w:tc>
        <w:tc>
          <w:tcPr>
            <w:tcW w:w="18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4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Fan Advisory Board meets at least quarterly with minutes produced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Meeting record</w:t>
            </w:r>
          </w:p>
        </w:tc>
        <w:tc>
          <w:tcPr>
            <w:tcW w:w="18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4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Fan Advisory Board has direct access to club CEO and attends at least one board briefing annually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Meeting record</w:t>
            </w:r>
          </w:p>
        </w:tc>
        <w:tc>
          <w:tcPr>
            <w:tcW w:w="18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4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Consultation process documented for each of the three statutory obligation areas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Process documents</w:t>
            </w:r>
          </w:p>
        </w:tc>
        <w:tc>
          <w:tcPr>
            <w:tcW w:w="18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4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Staff member with named responsibility for fan engagement at senior management level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Org chart</w:t>
            </w:r>
          </w:p>
        </w:tc>
        <w:tc>
          <w:tcPr>
            <w:tcW w:w="18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4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Fan engagement obligations reflected in annual governance calendar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Governance calendar</w:t>
            </w:r>
          </w:p>
        </w:tc>
        <w:tc>
          <w:tcPr>
            <w:tcW w:w="18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Annual Consultation Evidence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2100"/>
        <w:gridCol w:w="1900"/>
        <w:gridCol w:w="1900"/>
        <w:gridCol w:w="2000"/>
        <w:gridCol w:w="1730"/>
      </w:tblGrid>
      <w:tr>
        <w:trPr>
          <w:tblHeader/>
        </w:trPr>
        <w:tc>
          <w:tcPr>
            <w:tcW w:w="21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Obligation Area</w:t>
            </w:r>
          </w:p>
        </w:tc>
        <w:tc>
          <w:tcPr>
            <w:tcW w:w="19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Consultation Conducted?</w:t>
            </w:r>
          </w:p>
        </w:tc>
        <w:tc>
          <w:tcPr>
            <w:tcW w:w="19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Fan Input Documented?</w:t>
            </w:r>
          </w:p>
        </w:tc>
        <w:tc>
          <w:tcPr>
            <w:tcW w:w="20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Decision Influenced?</w:t>
            </w:r>
          </w:p>
        </w:tc>
        <w:tc>
          <w:tcPr>
            <w:tcW w:w="173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Evidence</w:t>
            </w:r>
          </w:p>
        </w:tc>
      </w:tr>
      <w:tr>
        <w:tc>
          <w:tcPr>
            <w:tcW w:w="2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Ticket pricing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/ explain</w:t>
            </w:r>
          </w:p>
        </w:tc>
        <w:tc>
          <w:tcPr>
            <w:tcW w:w="17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2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Strategic direction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/ explain</w:t>
            </w:r>
          </w:p>
        </w:tc>
        <w:tc>
          <w:tcPr>
            <w:tcW w:w="17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2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Ground / facilities (if relevant)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  ☐ N/A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  ☐ N/A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/ explain</w:t>
            </w:r>
          </w:p>
        </w:tc>
        <w:tc>
          <w:tcPr>
            <w:tcW w:w="17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21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Heritage matters (if relevant)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  ☐ N/A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  ☐ N/A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 Yes   ☐ No / explain</w:t>
            </w:r>
          </w:p>
        </w:tc>
        <w:tc>
          <w:tcPr>
            <w:tcW w:w="17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3200"/>
        <w:gridCol w:w="6430"/>
      </w:tblGrid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Completed by: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Date: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Presented to board:   ☐ Yes      Date: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IFR submission required this period:   ☐ Yes   ☐ No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color w:val="8A847E"/>
          <w:sz w:val="16"/>
          <w:szCs w:val="16"/>
        </w:rPr>
        <w:t xml:space="preserve">Published by Fideo Global Â· Independent of the Independent Football Regulator Â· Not legal advice.</w:t>
      </w:r>
    </w:p>
    <w:sectPr>
      <w:pgSz w:w="11906" w:h="16838"/>
      <w:pgMar w:top="1134" w:right="1134" w:bottom="1134" w:left="1134" w:header="709" w:footer="709"/>
    </w:sectPr>
  </w:body>
</w:document>
</file>