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560BAD"/>
          <w:sz w:val="40"/>
          <w:szCs w:val="40"/>
        </w:rPr>
        <w:t xml:space="preserve">Board Governance Health Check</w:t>
      </w:r>
    </w:p>
    <w:p>
      <w:pPr>
        <w:spacing w:after="220"/>
      </w:pPr>
      <w:r>
        <w:rPr>
          <w:color w:val="8A847E"/>
          <w:sz w:val="18"/>
          <w:szCs w:val="18"/>
        </w:rPr>
        <w:t xml:space="preserve">IFR Hub Governance Toolkit  Â·  ifrhub.co.uk</w:t>
      </w:r>
    </w:p>
    <w:p>
      <w:pPr>
        <w:spacing w:after="200"/>
      </w:pPr>
      <w:r>
        <w:rPr>
          <w:color w:val="221E1B"/>
          <w:sz w:val="21"/>
          <w:szCs w:val="21"/>
        </w:rPr>
        <w:t xml:space="preserve">An annual self-assessment tool for the full board. To be completed by each board member individually, then collated and discussed at a dedicated board effectiveness session. Results should be documented and a remediation plan agreed where gaps are identified.</w:t>
      </w:r>
    </w:p>
    <w:p>
      <w:pPr>
        <w:spacing w:after="240"/>
      </w:pPr>
      <w:r>
        <w:rPr>
          <w:color w:val="5C5550"/>
          <w:sz w:val="18"/>
          <w:szCs w:val="18"/>
        </w:rPr>
        <w:t xml:space="preserve">NOTE: This health check is designed to be completed by each board member individually and anonymously. The chair collates responses and presents aggregated findings to the full board.</w:t>
      </w: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Section A - Board Composition and Independence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1300"/>
        <w:gridCol w:w="6100"/>
        <w:gridCol w:w="2230"/>
      </w:tblGrid>
      <w:tr>
        <w:trPr>
          <w:tblHeader/>
        </w:trPr>
        <w:tc>
          <w:tcPr>
            <w:tcW w:w="13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Rating (1-5)</w:t>
            </w:r>
          </w:p>
        </w:tc>
        <w:tc>
          <w:tcPr>
            <w:tcW w:w="61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w="22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Comments</w:t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board has an appropriate balance of executive and non-executive directors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Non-executive directors are genuinely independent of the owner and executive team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board collectively has the skills, experience, and knowledge to govern the club effectively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board skills matrix is current and has been used to inform recent NED recruitment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NEDs have genuine, unimpeded access to information and staff without executive mediation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Section B - Board Effectiveness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1300"/>
        <w:gridCol w:w="6100"/>
        <w:gridCol w:w="2230"/>
      </w:tblGrid>
      <w:tr>
        <w:trPr>
          <w:tblHeader/>
        </w:trPr>
        <w:tc>
          <w:tcPr>
            <w:tcW w:w="13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Rating (1-5)</w:t>
            </w:r>
          </w:p>
        </w:tc>
        <w:tc>
          <w:tcPr>
            <w:tcW w:w="61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w="22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Comments</w:t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meetings are well-structured with adequate time for substantive discussion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packs are received with sufficient notice and contain the information needed to govern effectively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board regularly challenges management recommendations rather than routinely approving them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minutes accurately reflect discussion, challenge, and decision rationale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approval thresholds are consistently observed in practice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Audit and Risk Committee functions effectively with an independent NED chair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Section C - Governance Culture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1300"/>
        <w:gridCol w:w="6100"/>
        <w:gridCol w:w="2230"/>
      </w:tblGrid>
      <w:tr>
        <w:trPr>
          <w:tblHeader/>
        </w:trPr>
        <w:tc>
          <w:tcPr>
            <w:tcW w:w="13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Rating (1-5)</w:t>
            </w:r>
          </w:p>
        </w:tc>
        <w:tc>
          <w:tcPr>
            <w:tcW w:w="61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w="22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Comments</w:t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Conflicts of interest are declared and reviewed at every board meeting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Related-party transactions are identified, disclosed, and assessed for club benefit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club has a genuine speak-up culture in which staff feel safe raising concerns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The board is actively engaged with the club's IFR regulatory relationship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3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6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Fan engagement obligations are treated as governance priorities, not compliance checkboxes</w:t>
            </w:r>
          </w:p>
        </w:tc>
        <w:tc>
          <w:tcPr>
            <w:tcW w:w="22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Overall Assessment and Actions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3200"/>
        <w:gridCol w:w="6430"/>
      </w:tblGrid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Areas of strength: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Priority actions agreed: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Owner of remediation plan: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Target date: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 of next effectiveness review: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color w:val="8A847E"/>
          <w:sz w:val="16"/>
          <w:szCs w:val="16"/>
        </w:rPr>
        <w:t xml:space="preserve">Published by Fideo Global Â· Independent of the Independent Football Regulator Â· Not legal advice.</w:t>
      </w:r>
    </w:p>
    <w:sectPr>
      <w:pgSz w:w="11906" w:h="16838"/>
      <w:pgMar w:top="1134" w:right="1134" w:bottom="1134" w:left="1134" w:header="709" w:footer="709"/>
    </w:sectPr>
  </w:body>
</w:document>
</file>