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560BAD"/>
          <w:sz w:val="40"/>
          <w:szCs w:val="40"/>
        </w:rPr>
        <w:t xml:space="preserve">Executive Onboarding Knowledge Checklist</w:t>
      </w:r>
    </w:p>
    <w:p>
      <w:pPr>
        <w:spacing w:after="220"/>
      </w:pPr>
      <w:r>
        <w:rPr>
          <w:color w:val="8A847E"/>
          <w:sz w:val="18"/>
          <w:szCs w:val="18"/>
        </w:rPr>
        <w:t xml:space="preserve">IFR Hub Governance Toolkit  Â·  ifrhub.co.uk</w:t>
      </w:r>
    </w:p>
    <w:p>
      <w:pPr>
        <w:spacing w:after="200"/>
      </w:pPr>
      <w:r>
        <w:rPr>
          <w:color w:val="221E1B"/>
          <w:sz w:val="21"/>
          <w:szCs w:val="21"/>
        </w:rPr>
        <w:t xml:space="preserve">Use this tool when onboarding any new executive, director, or senior manager covered by the IFR's ODSE framework. It ensures that every individual joining the club's leadership team has the knowledge they need to meet their governance obligations from day one.</w:t>
      </w:r>
    </w:p>
    <w:tbl>
      <w:tblPr>
        <w:tblW w:w="0" w:type="auto"/>
        <w:tblLayout w:type="fixed"/>
        <w:tblBorders>
          <w:top w:val="single" w:sz="4" w:color="C9C2BA"/>
          <w:left w:val="single" w:sz="4" w:color="C9C2BA"/>
          <w:bottom w:val="single" w:sz="4" w:color="C9C2BA"/>
          <w:right w:val="single" w:sz="4" w:color="C9C2BA"/>
          <w:insideH w:val="single" w:sz="4" w:color="C9C2BA"/>
          <w:insideV w:val="single" w:sz="4" w:color="C9C2BA"/>
        </w:tblBorders>
      </w:tblPr>
      <w:tblGrid>
        <w:gridCol w:w="500"/>
        <w:gridCol w:w="4700"/>
        <w:gridCol w:w="2600"/>
        <w:gridCol w:w="1830"/>
      </w:tblGrid>
      <w:tr>
        <w:trPr>
          <w:tblHeader/>
        </w:trPr>
        <w:tc>
          <w:tcPr>
            <w:tcW w:w="500" w:type="dxa"/>
            <w:shd w:val="clear" w:color="auto" w:fill="560BAD"/>
            <w:vAlign w:val="center"/>
          </w:tcPr>
          <w:p>
            <w:pPr>
              <w:spacing w:before="40" w:after="40"/>
            </w:pPr>
            <w:r>
              <w:rPr>
                <w:b/>
                <w:color w:val="FFFFFF"/>
                <w:sz w:val="19"/>
                <w:szCs w:val="19"/>
              </w:rPr>
              <w:t xml:space="preserve">☐</w:t>
            </w:r>
          </w:p>
        </w:tc>
        <w:tc>
          <w:tcPr>
            <w:tcW w:w="4700" w:type="dxa"/>
            <w:shd w:val="clear" w:color="auto" w:fill="560BAD"/>
            <w:vAlign w:val="center"/>
          </w:tcPr>
          <w:p>
            <w:pPr>
              <w:spacing w:before="40" w:after="40"/>
            </w:pPr>
            <w:r>
              <w:rPr>
                <w:b/>
                <w:color w:val="FFFFFF"/>
                <w:sz w:val="19"/>
                <w:szCs w:val="19"/>
              </w:rPr>
              <w:t xml:space="preserve">Knowledge Area</w:t>
            </w:r>
          </w:p>
        </w:tc>
        <w:tc>
          <w:tcPr>
            <w:tcW w:w="2600" w:type="dxa"/>
            <w:shd w:val="clear" w:color="auto" w:fill="560BAD"/>
            <w:vAlign w:val="center"/>
          </w:tcPr>
          <w:p>
            <w:pPr>
              <w:spacing w:before="40" w:after="40"/>
            </w:pPr>
            <w:r>
              <w:rPr>
                <w:b/>
                <w:color w:val="FFFFFF"/>
                <w:sz w:val="19"/>
                <w:szCs w:val="19"/>
              </w:rPr>
              <w:t xml:space="preserve">How Delivered</w:t>
            </w:r>
          </w:p>
        </w:tc>
        <w:tc>
          <w:tcPr>
            <w:tcW w:w="1830" w:type="dxa"/>
            <w:shd w:val="clear" w:color="auto" w:fill="560BAD"/>
            <w:vAlign w:val="center"/>
          </w:tcPr>
          <w:p>
            <w:pPr>
              <w:spacing w:before="40" w:after="40"/>
            </w:pPr>
            <w:r>
              <w:rPr>
                <w:b/>
                <w:color w:val="FFFFFF"/>
                <w:sz w:val="19"/>
                <w:szCs w:val="19"/>
              </w:rPr>
              <w:t xml:space="preserve">Date Completed</w:t>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Football Governance Act 2025 - scope, objectives, and licensing regime</w:t>
            </w:r>
          </w:p>
        </w:tc>
        <w:tc>
          <w:tcPr>
            <w:tcW w:w="2600" w:type="dxa"/>
            <w:vAlign w:val="center"/>
          </w:tcPr>
          <w:p>
            <w:pPr>
              <w:spacing w:before="40" w:after="40"/>
            </w:pPr>
            <w:r>
              <w:rPr>
                <w:color w:val="221E1B"/>
                <w:sz w:val="19"/>
                <w:szCs w:val="19"/>
              </w:rPr>
              <w:t xml:space="preserve">Induction briefing</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IFR ODSE fitness criteria - personal obligations and consequences of breach</w:t>
            </w:r>
          </w:p>
        </w:tc>
        <w:tc>
          <w:tcPr>
            <w:tcW w:w="2600" w:type="dxa"/>
            <w:vAlign w:val="center"/>
          </w:tcPr>
          <w:p>
            <w:pPr>
              <w:spacing w:before="40" w:after="40"/>
            </w:pPr>
            <w:r>
              <w:rPr>
                <w:color w:val="221E1B"/>
                <w:sz w:val="19"/>
                <w:szCs w:val="19"/>
              </w:rPr>
              <w:t xml:space="preserve">Induction briefing / ODSE self-assessment</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Club's governance policies - board approval thresholds, conflicts of interest policy, related-party transaction policy</w:t>
            </w:r>
          </w:p>
        </w:tc>
        <w:tc>
          <w:tcPr>
            <w:tcW w:w="2600" w:type="dxa"/>
            <w:vAlign w:val="center"/>
          </w:tcPr>
          <w:p>
            <w:pPr>
              <w:spacing w:before="40" w:after="40"/>
            </w:pPr>
            <w:r>
              <w:rPr>
                <w:color w:val="221E1B"/>
                <w:sz w:val="19"/>
                <w:szCs w:val="19"/>
              </w:rPr>
              <w:t xml:space="preserve">Policy pack</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Club's conflicts of interest register - existing declarations reviewed and personal declaration made</w:t>
            </w:r>
          </w:p>
        </w:tc>
        <w:tc>
          <w:tcPr>
            <w:tcW w:w="2600" w:type="dxa"/>
            <w:vAlign w:val="center"/>
          </w:tcPr>
          <w:p>
            <w:pPr>
              <w:spacing w:before="40" w:after="40"/>
            </w:pPr>
            <w:r>
              <w:rPr>
                <w:color w:val="221E1B"/>
                <w:sz w:val="19"/>
                <w:szCs w:val="19"/>
              </w:rPr>
              <w:t xml:space="preserve">Company Secretary</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Board terms of reference - decision rights, approval thresholds, committee structure</w:t>
            </w:r>
          </w:p>
        </w:tc>
        <w:tc>
          <w:tcPr>
            <w:tcW w:w="2600" w:type="dxa"/>
            <w:vAlign w:val="center"/>
          </w:tcPr>
          <w:p>
            <w:pPr>
              <w:spacing w:before="40" w:after="40"/>
            </w:pPr>
            <w:r>
              <w:rPr>
                <w:color w:val="221E1B"/>
                <w:sz w:val="19"/>
                <w:szCs w:val="19"/>
              </w:rPr>
              <w:t xml:space="preserve">Board Secretary</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Financial management framework - budget, cash flow position, key financial risks</w:t>
            </w:r>
          </w:p>
        </w:tc>
        <w:tc>
          <w:tcPr>
            <w:tcW w:w="2600" w:type="dxa"/>
            <w:vAlign w:val="center"/>
          </w:tcPr>
          <w:p>
            <w:pPr>
              <w:spacing w:before="40" w:after="40"/>
            </w:pPr>
            <w:r>
              <w:rPr>
                <w:color w:val="221E1B"/>
                <w:sz w:val="19"/>
                <w:szCs w:val="19"/>
              </w:rPr>
              <w:t xml:space="preserve">CFO briefing</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IFR licensing status - current position, timeline, outstanding actions</w:t>
            </w:r>
          </w:p>
        </w:tc>
        <w:tc>
          <w:tcPr>
            <w:tcW w:w="2600" w:type="dxa"/>
            <w:vAlign w:val="center"/>
          </w:tcPr>
          <w:p>
            <w:pPr>
              <w:spacing w:before="40" w:after="40"/>
            </w:pPr>
            <w:r>
              <w:rPr>
                <w:color w:val="221E1B"/>
                <w:sz w:val="19"/>
                <w:szCs w:val="19"/>
              </w:rPr>
              <w:t xml:space="preserve">Regulatory lead briefing</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Fan engagement obligations - statutory requirements, current Fan Advisory Board arrangements</w:t>
            </w:r>
          </w:p>
        </w:tc>
        <w:tc>
          <w:tcPr>
            <w:tcW w:w="2600" w:type="dxa"/>
            <w:vAlign w:val="center"/>
          </w:tcPr>
          <w:p>
            <w:pPr>
              <w:spacing w:before="40" w:after="40"/>
            </w:pPr>
            <w:r>
              <w:rPr>
                <w:color w:val="221E1B"/>
                <w:sz w:val="19"/>
                <w:szCs w:val="19"/>
              </w:rPr>
              <w:t xml:space="preserve">Fan engagement lead</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Heritage stewardship obligations - protected assets, board stewardship policy</w:t>
            </w:r>
          </w:p>
        </w:tc>
        <w:tc>
          <w:tcPr>
            <w:tcW w:w="2600" w:type="dxa"/>
            <w:vAlign w:val="center"/>
          </w:tcPr>
          <w:p>
            <w:pPr>
              <w:spacing w:before="40" w:after="40"/>
            </w:pPr>
            <w:r>
              <w:rPr>
                <w:color w:val="221E1B"/>
                <w:sz w:val="19"/>
                <w:szCs w:val="19"/>
              </w:rPr>
              <w:t xml:space="preserve">Board briefing</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Companies Act director duties - fiduciary duties, duty to avoid conflicts, duty to act in company's interests</w:t>
            </w:r>
          </w:p>
        </w:tc>
        <w:tc>
          <w:tcPr>
            <w:tcW w:w="2600" w:type="dxa"/>
            <w:vAlign w:val="center"/>
          </w:tcPr>
          <w:p>
            <w:pPr>
              <w:spacing w:before="40" w:after="40"/>
            </w:pPr>
            <w:r>
              <w:rPr>
                <w:color w:val="221E1B"/>
                <w:sz w:val="19"/>
                <w:szCs w:val="19"/>
              </w:rPr>
              <w:t xml:space="preserve">Legal adviser briefing</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AML awareness - EU AMLR timeline, club's AML risk profile, SAR obligations</w:t>
            </w:r>
          </w:p>
        </w:tc>
        <w:tc>
          <w:tcPr>
            <w:tcW w:w="2600" w:type="dxa"/>
            <w:vAlign w:val="center"/>
          </w:tcPr>
          <w:p>
            <w:pPr>
              <w:spacing w:before="40" w:after="40"/>
            </w:pPr>
            <w:r>
              <w:rPr>
                <w:color w:val="221E1B"/>
                <w:sz w:val="19"/>
                <w:szCs w:val="19"/>
              </w:rPr>
              <w:t xml:space="preserve">AML compliance officer</w:t>
            </w:r>
          </w:p>
        </w:tc>
        <w:tc>
          <w:tcPr>
            <w:tcW w:w="1830" w:type="dxa"/>
            <w:vAlign w:val="center"/>
          </w:tcPr>
          <w:p>
            <w:pPr>
              <w:spacing w:before="40" w:after="40"/>
            </w:pPr>
            <w:r>
              <w:rPr>
                <w:color w:val="221E1B"/>
                <w:sz w:val="19"/>
                <w:szCs w:val="19"/>
              </w:rPr>
              <w:t xml:space="preserve"/>
            </w:r>
          </w:p>
        </w:tc>
      </w:tr>
      <w:tr>
        <w:tc>
          <w:tcPr>
            <w:tcW w:w="500" w:type="dxa"/>
            <w:vAlign w:val="center"/>
          </w:tcPr>
          <w:p>
            <w:pPr>
              <w:spacing w:before="40" w:after="40"/>
            </w:pPr>
            <w:r>
              <w:rPr>
                <w:color w:val="221E1B"/>
                <w:sz w:val="19"/>
                <w:szCs w:val="19"/>
              </w:rPr>
              <w:t xml:space="preserve">☐</w:t>
            </w:r>
          </w:p>
        </w:tc>
        <w:tc>
          <w:tcPr>
            <w:tcW w:w="4700" w:type="dxa"/>
            <w:vAlign w:val="center"/>
          </w:tcPr>
          <w:p>
            <w:pPr>
              <w:spacing w:before="40" w:after="40"/>
            </w:pPr>
            <w:r>
              <w:rPr>
                <w:color w:val="221E1B"/>
                <w:sz w:val="19"/>
                <w:szCs w:val="19"/>
              </w:rPr>
              <w:t xml:space="preserve">Speak-up/whistleblowing policy - how to raise concerns and what protections apply</w:t>
            </w:r>
          </w:p>
        </w:tc>
        <w:tc>
          <w:tcPr>
            <w:tcW w:w="2600" w:type="dxa"/>
            <w:vAlign w:val="center"/>
          </w:tcPr>
          <w:p>
            <w:pPr>
              <w:spacing w:before="40" w:after="40"/>
            </w:pPr>
            <w:r>
              <w:rPr>
                <w:color w:val="221E1B"/>
                <w:sz w:val="19"/>
                <w:szCs w:val="19"/>
              </w:rPr>
              <w:t xml:space="preserve">HR / Company Secretary</w:t>
            </w:r>
          </w:p>
        </w:tc>
        <w:tc>
          <w:tcPr>
            <w:tcW w:w="1830" w:type="dxa"/>
            <w:vAlign w:val="center"/>
          </w:tcPr>
          <w:p>
            <w:pPr>
              <w:spacing w:before="40" w:after="40"/>
            </w:pPr>
            <w:r>
              <w:rPr>
                <w:color w:val="221E1B"/>
                <w:sz w:val="19"/>
                <w:szCs w:val="19"/>
              </w:rPr>
              <w:t xml:space="preserve"/>
            </w:r>
          </w:p>
        </w:tc>
      </w:tr>
    </w:tbl>
    <w:p>
      <w:pPr>
        <w:spacing w:after="120"/>
      </w:pPr>
    </w:p>
    <w:tbl>
      <w:tblPr>
        <w:tblW w:w="0" w:type="auto"/>
        <w:tblLayout w:type="fixed"/>
        <w:tblBorders>
          <w:top w:val="single" w:sz="4" w:color="C9C2BA"/>
          <w:left w:val="single" w:sz="4" w:color="C9C2BA"/>
          <w:bottom w:val="single" w:sz="4" w:color="C9C2BA"/>
          <w:right w:val="single" w:sz="4" w:color="C9C2BA"/>
          <w:insideH w:val="single" w:sz="4" w:color="C9C2BA"/>
          <w:insideV w:val="single" w:sz="4" w:color="C9C2BA"/>
        </w:tblBorders>
      </w:tblPr>
      <w:tblGrid>
        <w:gridCol w:w="3200"/>
        <w:gridCol w:w="6430"/>
      </w:tblGrid>
      <w:tr>
        <w:tc>
          <w:tcPr>
            <w:tcW w:w="3200" w:type="dxa"/>
            <w:vAlign w:val="center"/>
          </w:tcPr>
          <w:p>
            <w:pPr>
              <w:spacing w:before="40" w:after="40"/>
            </w:pPr>
            <w:r>
              <w:rPr>
                <w:color w:val="221E1B"/>
                <w:sz w:val="19"/>
                <w:szCs w:val="19"/>
              </w:rPr>
              <w:t xml:space="preserve">Individual name:</w:t>
            </w:r>
          </w:p>
        </w:tc>
        <w:tc>
          <w:tcPr>
            <w:tcW w:w="6430" w:type="dxa"/>
            <w:vAlign w:val="center"/>
          </w:tcPr>
          <w:p>
            <w:pPr>
              <w:spacing w:before="40" w:after="40"/>
            </w:pPr>
            <w:r>
              <w:rPr>
                <w:color w:val="221E1B"/>
                <w:sz w:val="19"/>
                <w:szCs w:val="19"/>
              </w:rPr>
              <w:t xml:space="preserve"/>
            </w:r>
          </w:p>
        </w:tc>
      </w:tr>
      <w:tr>
        <w:tc>
          <w:tcPr>
            <w:tcW w:w="3200" w:type="dxa"/>
            <w:vAlign w:val="center"/>
          </w:tcPr>
          <w:p>
            <w:pPr>
              <w:spacing w:before="40" w:after="40"/>
            </w:pPr>
            <w:r>
              <w:rPr>
                <w:color w:val="221E1B"/>
                <w:sz w:val="19"/>
                <w:szCs w:val="19"/>
              </w:rPr>
              <w:t xml:space="preserve">Role:</w:t>
            </w:r>
          </w:p>
        </w:tc>
        <w:tc>
          <w:tcPr>
            <w:tcW w:w="6430" w:type="dxa"/>
            <w:vAlign w:val="center"/>
          </w:tcPr>
          <w:p>
            <w:pPr>
              <w:spacing w:before="40" w:after="40"/>
            </w:pPr>
            <w:r>
              <w:rPr>
                <w:color w:val="221E1B"/>
                <w:sz w:val="19"/>
                <w:szCs w:val="19"/>
              </w:rPr>
              <w:t xml:space="preserve"/>
            </w:r>
          </w:p>
        </w:tc>
      </w:tr>
      <w:tr>
        <w:tc>
          <w:tcPr>
            <w:tcW w:w="3200" w:type="dxa"/>
            <w:vAlign w:val="center"/>
          </w:tcPr>
          <w:p>
            <w:pPr>
              <w:spacing w:before="40" w:after="40"/>
            </w:pPr>
            <w:r>
              <w:rPr>
                <w:color w:val="221E1B"/>
                <w:sz w:val="19"/>
                <w:szCs w:val="19"/>
              </w:rPr>
              <w:t xml:space="preserve">Onboarding completed by:</w:t>
            </w:r>
          </w:p>
        </w:tc>
        <w:tc>
          <w:tcPr>
            <w:tcW w:w="6430" w:type="dxa"/>
            <w:vAlign w:val="center"/>
          </w:tcPr>
          <w:p>
            <w:pPr>
              <w:spacing w:before="40" w:after="40"/>
            </w:pPr>
            <w:r>
              <w:rPr>
                <w:color w:val="221E1B"/>
                <w:sz w:val="19"/>
                <w:szCs w:val="19"/>
              </w:rPr>
              <w:t xml:space="preserve"/>
            </w:r>
          </w:p>
        </w:tc>
      </w:tr>
      <w:tr>
        <w:tc>
          <w:tcPr>
            <w:tcW w:w="3200" w:type="dxa"/>
            <w:vAlign w:val="center"/>
          </w:tcPr>
          <w:p>
            <w:pPr>
              <w:spacing w:before="40" w:after="40"/>
            </w:pPr>
            <w:r>
              <w:rPr>
                <w:color w:val="221E1B"/>
                <w:sz w:val="19"/>
                <w:szCs w:val="19"/>
              </w:rPr>
              <w:t xml:space="preserve">Date:</w:t>
            </w:r>
          </w:p>
        </w:tc>
        <w:tc>
          <w:tcPr>
            <w:tcW w:w="6430" w:type="dxa"/>
            <w:vAlign w:val="center"/>
          </w:tcPr>
          <w:p>
            <w:pPr>
              <w:spacing w:before="40" w:after="40"/>
            </w:pPr>
            <w:r>
              <w:rPr>
                <w:color w:val="221E1B"/>
                <w:sz w:val="19"/>
                <w:szCs w:val="19"/>
              </w:rPr>
              <w:t xml:space="preserve"/>
            </w:r>
          </w:p>
        </w:tc>
      </w:tr>
      <w:tr>
        <w:tc>
          <w:tcPr>
            <w:tcW w:w="3200" w:type="dxa"/>
            <w:vAlign w:val="center"/>
          </w:tcPr>
          <w:p>
            <w:pPr>
              <w:spacing w:before="40" w:after="40"/>
            </w:pPr>
            <w:r>
              <w:rPr>
                <w:color w:val="221E1B"/>
                <w:sz w:val="19"/>
                <w:szCs w:val="19"/>
              </w:rPr>
              <w:t xml:space="preserve">Confirmed understanding signed by individual:  ☐ Yes   ☐ Outstanding items noted below</w:t>
            </w:r>
          </w:p>
        </w:tc>
        <w:tc>
          <w:tcPr>
            <w:tcW w:w="6430" w:type="dxa"/>
            <w:vAlign w:val="center"/>
          </w:tcPr>
          <w:p>
            <w:pPr>
              <w:spacing w:before="40" w:after="40"/>
            </w:pPr>
            <w:r>
              <w:rPr>
                <w:color w:val="221E1B"/>
                <w:sz w:val="19"/>
                <w:szCs w:val="19"/>
              </w:rPr>
              <w:t xml:space="preserve"/>
            </w:r>
          </w:p>
        </w:tc>
      </w:tr>
      <w:tr>
        <w:tc>
          <w:tcPr>
            <w:tcW w:w="3200" w:type="dxa"/>
            <w:vAlign w:val="center"/>
          </w:tcPr>
          <w:p>
            <w:pPr>
              <w:spacing w:before="40" w:after="40"/>
            </w:pPr>
            <w:r>
              <w:rPr>
                <w:color w:val="221E1B"/>
                <w:sz w:val="19"/>
                <w:szCs w:val="19"/>
              </w:rPr>
              <w:t xml:space="preserve">Outstanding items:</w:t>
            </w:r>
          </w:p>
        </w:tc>
        <w:tc>
          <w:tcPr>
            <w:tcW w:w="6430" w:type="dxa"/>
            <w:vAlign w:val="center"/>
          </w:tcPr>
          <w:p>
            <w:pPr>
              <w:spacing w:before="40" w:after="40"/>
            </w:pPr>
            <w:r>
              <w:rPr>
                <w:color w:val="221E1B"/>
                <w:sz w:val="19"/>
                <w:szCs w:val="19"/>
              </w:rPr>
              <w:t xml:space="preserve"/>
            </w:r>
          </w:p>
        </w:tc>
      </w:tr>
    </w:tbl>
    <w:p>
      <w:pPr>
        <w:spacing w:after="120"/>
      </w:pPr>
    </w:p>
    <w:p>
      <w:pPr>
        <w:spacing w:after="0"/>
      </w:pPr>
      <w:r>
        <w:rPr>
          <w:color w:val="8A847E"/>
          <w:sz w:val="16"/>
          <w:szCs w:val="16"/>
        </w:rPr>
        <w:t xml:space="preserve">Published by Fideo Global Â· Independent of the Independent Football Regulator Â· Not legal advice.</w:t>
      </w:r>
    </w:p>
    <w:sectPr>
      <w:pgSz w:w="11906" w:h="16838"/>
      <w:pgMar w:top="1134" w:right="1134" w:bottom="1134" w:left="1134" w:header="709" w:footer="709"/>
    </w:sectPr>
  </w:body>
</w:document>
</file>